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7D92A">
      <w:pPr>
        <w:rPr>
          <w:b/>
          <w:sz w:val="52"/>
          <w:szCs w:val="52"/>
        </w:rPr>
      </w:pPr>
    </w:p>
    <w:p w14:paraId="2DCDA945">
      <w:pPr>
        <w:snapToGrid w:val="0"/>
        <w:spacing w:line="480" w:lineRule="auto"/>
        <w:ind w:firstLine="0" w:firstLineChars="0"/>
        <w:jc w:val="center"/>
        <w:rPr>
          <w:rFonts w:eastAsia="黑体"/>
          <w:b/>
          <w:sz w:val="44"/>
          <w:szCs w:val="44"/>
        </w:rPr>
      </w:pPr>
    </w:p>
    <w:p w14:paraId="2A46A539">
      <w:pPr>
        <w:ind w:firstLine="0" w:firstLineChars="0"/>
        <w:jc w:val="center"/>
        <w:rPr>
          <w:b/>
          <w:spacing w:val="20"/>
          <w:sz w:val="52"/>
          <w:szCs w:val="52"/>
        </w:rPr>
      </w:pPr>
      <w:r>
        <w:rPr>
          <w:rFonts w:hint="eastAsia"/>
          <w:b/>
          <w:spacing w:val="20"/>
          <w:sz w:val="52"/>
          <w:szCs w:val="52"/>
        </w:rPr>
        <w:t>温州金洋集装箱码头有限公司超融合升级扩容</w:t>
      </w:r>
    </w:p>
    <w:p w14:paraId="2AF161C1">
      <w:pPr>
        <w:pStyle w:val="43"/>
      </w:pPr>
    </w:p>
    <w:p w14:paraId="6702C12D">
      <w:pPr>
        <w:pStyle w:val="2"/>
        <w:ind w:firstLine="560"/>
      </w:pPr>
    </w:p>
    <w:p w14:paraId="6A8806D7">
      <w:pPr>
        <w:snapToGrid w:val="0"/>
        <w:spacing w:line="480" w:lineRule="auto"/>
        <w:ind w:firstLine="0" w:firstLineChars="0"/>
        <w:jc w:val="center"/>
        <w:rPr>
          <w:b/>
          <w:sz w:val="44"/>
          <w:szCs w:val="44"/>
        </w:rPr>
      </w:pPr>
      <w:r>
        <w:rPr>
          <w:b/>
          <w:sz w:val="44"/>
          <w:szCs w:val="44"/>
        </w:rPr>
        <w:t>招标文件</w:t>
      </w:r>
    </w:p>
    <w:p w14:paraId="5C16870B">
      <w:pPr>
        <w:jc w:val="center"/>
        <w:rPr>
          <w:b/>
          <w:sz w:val="52"/>
          <w:szCs w:val="52"/>
        </w:rPr>
      </w:pPr>
    </w:p>
    <w:p w14:paraId="78259329">
      <w:pPr>
        <w:ind w:firstLine="1325" w:firstLineChars="300"/>
        <w:rPr>
          <w:b/>
          <w:sz w:val="44"/>
          <w:szCs w:val="44"/>
        </w:rPr>
      </w:pPr>
      <w:r>
        <w:rPr>
          <w:rFonts w:hint="eastAsia"/>
          <w:b/>
          <w:sz w:val="44"/>
          <w:szCs w:val="44"/>
        </w:rPr>
        <w:t>项目</w:t>
      </w:r>
      <w:r>
        <w:rPr>
          <w:b/>
          <w:sz w:val="44"/>
          <w:szCs w:val="44"/>
        </w:rPr>
        <w:t>编号：</w:t>
      </w:r>
      <w:r>
        <w:rPr>
          <w:rFonts w:hint="eastAsia"/>
          <w:b/>
          <w:sz w:val="44"/>
          <w:szCs w:val="44"/>
        </w:rPr>
        <w:t>JYWZCG2026116</w:t>
      </w:r>
    </w:p>
    <w:p w14:paraId="2E067691">
      <w:pPr>
        <w:snapToGrid w:val="0"/>
        <w:spacing w:before="156" w:beforeLines="50"/>
        <w:ind w:firstLine="602"/>
        <w:rPr>
          <w:b/>
          <w:sz w:val="30"/>
          <w:szCs w:val="72"/>
        </w:rPr>
      </w:pPr>
    </w:p>
    <w:p w14:paraId="024E0493">
      <w:pPr>
        <w:snapToGrid w:val="0"/>
        <w:spacing w:before="156" w:beforeLines="50"/>
        <w:ind w:firstLine="602"/>
        <w:rPr>
          <w:b/>
          <w:sz w:val="30"/>
          <w:szCs w:val="72"/>
        </w:rPr>
      </w:pPr>
    </w:p>
    <w:p w14:paraId="3ED8E9C3">
      <w:pPr>
        <w:snapToGrid w:val="0"/>
        <w:spacing w:before="156" w:beforeLines="50"/>
        <w:ind w:firstLine="602"/>
        <w:rPr>
          <w:b/>
          <w:sz w:val="30"/>
          <w:szCs w:val="72"/>
        </w:rPr>
      </w:pPr>
    </w:p>
    <w:p w14:paraId="709D1E81">
      <w:pPr>
        <w:ind w:firstLine="723"/>
        <w:rPr>
          <w:b/>
          <w:sz w:val="36"/>
          <w:szCs w:val="36"/>
        </w:rPr>
      </w:pPr>
    </w:p>
    <w:p w14:paraId="03E895FC">
      <w:pPr>
        <w:ind w:left="-141" w:leftChars="-67" w:firstLine="0" w:firstLineChars="0"/>
        <w:jc w:val="center"/>
        <w:rPr>
          <w:b/>
          <w:sz w:val="36"/>
          <w:szCs w:val="36"/>
        </w:rPr>
      </w:pPr>
      <w:r>
        <w:rPr>
          <w:b/>
          <w:sz w:val="36"/>
          <w:szCs w:val="36"/>
        </w:rPr>
        <w:t>招标人：</w:t>
      </w:r>
      <w:r>
        <w:rPr>
          <w:rFonts w:hint="eastAsia"/>
          <w:b/>
          <w:sz w:val="36"/>
          <w:szCs w:val="36"/>
        </w:rPr>
        <w:t>温州金洋集装箱码头有限公司</w:t>
      </w:r>
    </w:p>
    <w:p w14:paraId="09705423">
      <w:pPr>
        <w:ind w:left="-141" w:leftChars="-67" w:firstLine="0" w:firstLineChars="0"/>
        <w:jc w:val="center"/>
        <w:rPr>
          <w:b/>
          <w:sz w:val="36"/>
          <w:szCs w:val="36"/>
        </w:rPr>
      </w:pPr>
      <w:r>
        <w:rPr>
          <w:b/>
          <w:sz w:val="36"/>
          <w:szCs w:val="36"/>
        </w:rPr>
        <w:t>招标代理机构：宁波中基国际招标有限公司</w:t>
      </w:r>
    </w:p>
    <w:p w14:paraId="50FD1332">
      <w:pPr>
        <w:ind w:firstLine="0" w:firstLineChars="0"/>
        <w:jc w:val="center"/>
        <w:rPr>
          <w:b/>
          <w:sz w:val="36"/>
          <w:szCs w:val="36"/>
        </w:rPr>
      </w:pPr>
      <w:r>
        <w:rPr>
          <w:b/>
          <w:sz w:val="36"/>
          <w:szCs w:val="36"/>
        </w:rPr>
        <w:t xml:space="preserve"> </w:t>
      </w:r>
    </w:p>
    <w:p w14:paraId="11676C60">
      <w:pPr>
        <w:ind w:left="359" w:leftChars="171"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r>
        <w:rPr>
          <w:b/>
          <w:sz w:val="36"/>
          <w:szCs w:val="36"/>
        </w:rPr>
        <w:t>202</w:t>
      </w:r>
      <w:r>
        <w:rPr>
          <w:rFonts w:hint="eastAsia"/>
          <w:b/>
          <w:sz w:val="36"/>
          <w:szCs w:val="36"/>
        </w:rPr>
        <w:t>6</w:t>
      </w:r>
      <w:r>
        <w:rPr>
          <w:b/>
          <w:sz w:val="36"/>
          <w:szCs w:val="36"/>
        </w:rPr>
        <w:t>年</w:t>
      </w:r>
      <w:r>
        <w:rPr>
          <w:rFonts w:hint="eastAsia"/>
          <w:b/>
          <w:sz w:val="36"/>
          <w:szCs w:val="36"/>
        </w:rPr>
        <w:t>5</w:t>
      </w:r>
      <w:r>
        <w:rPr>
          <w:b/>
          <w:sz w:val="36"/>
          <w:szCs w:val="36"/>
        </w:rPr>
        <w:t>月</w:t>
      </w:r>
    </w:p>
    <w:p w14:paraId="58E857A7">
      <w:pPr>
        <w:ind w:firstLine="0" w:firstLineChars="0"/>
        <w:jc w:val="center"/>
        <w:rPr>
          <w:b/>
          <w:sz w:val="36"/>
          <w:szCs w:val="36"/>
        </w:rPr>
      </w:pPr>
      <w:r>
        <w:rPr>
          <w:b/>
          <w:sz w:val="36"/>
          <w:szCs w:val="36"/>
        </w:rPr>
        <w:t>目    录</w:t>
      </w:r>
    </w:p>
    <w:p w14:paraId="01C2010B">
      <w:pPr>
        <w:ind w:firstLine="0" w:firstLineChars="0"/>
        <w:jc w:val="center"/>
        <w:rPr>
          <w:b/>
          <w:sz w:val="36"/>
          <w:szCs w:val="36"/>
        </w:rPr>
      </w:pPr>
    </w:p>
    <w:p w14:paraId="57A93D5E">
      <w:pPr>
        <w:pStyle w:val="31"/>
        <w:tabs>
          <w:tab w:val="right" w:leader="dot" w:pos="8390"/>
        </w:tabs>
      </w:pPr>
      <w:r>
        <w:rPr>
          <w:b w:val="0"/>
          <w:szCs w:val="28"/>
        </w:rPr>
        <w:fldChar w:fldCharType="begin"/>
      </w:r>
      <w:r>
        <w:rPr>
          <w:b w:val="0"/>
          <w:szCs w:val="28"/>
        </w:rPr>
        <w:instrText xml:space="preserve"> TOC \o "1-1" \h \z </w:instrText>
      </w:r>
      <w:r>
        <w:rPr>
          <w:b w:val="0"/>
          <w:szCs w:val="28"/>
        </w:rPr>
        <w:fldChar w:fldCharType="separate"/>
      </w:r>
      <w:r>
        <w:fldChar w:fldCharType="begin"/>
      </w:r>
      <w:r>
        <w:instrText xml:space="preserve"> HYPERLINK \l "_Toc14217" </w:instrText>
      </w:r>
      <w:r>
        <w:fldChar w:fldCharType="separate"/>
      </w:r>
      <w:r>
        <w:t>第一章  招标公告</w:t>
      </w:r>
      <w:r>
        <w:tab/>
      </w:r>
      <w:r>
        <w:fldChar w:fldCharType="begin"/>
      </w:r>
      <w:r>
        <w:instrText xml:space="preserve"> PAGEREF _Toc14217 \h </w:instrText>
      </w:r>
      <w:r>
        <w:fldChar w:fldCharType="separate"/>
      </w:r>
      <w:r>
        <w:t>3</w:t>
      </w:r>
      <w:r>
        <w:fldChar w:fldCharType="end"/>
      </w:r>
      <w:r>
        <w:fldChar w:fldCharType="end"/>
      </w:r>
    </w:p>
    <w:p w14:paraId="2CF640EF">
      <w:pPr>
        <w:pStyle w:val="31"/>
        <w:tabs>
          <w:tab w:val="right" w:leader="dot" w:pos="8390"/>
        </w:tabs>
      </w:pPr>
      <w:r>
        <w:fldChar w:fldCharType="begin"/>
      </w:r>
      <w:r>
        <w:instrText xml:space="preserve"> HYPERLINK \l "_Toc3249" </w:instrText>
      </w:r>
      <w:r>
        <w:fldChar w:fldCharType="separate"/>
      </w:r>
      <w:r>
        <w:t>第二章  招标需求</w:t>
      </w:r>
      <w:r>
        <w:tab/>
      </w:r>
      <w:r>
        <w:fldChar w:fldCharType="begin"/>
      </w:r>
      <w:r>
        <w:instrText xml:space="preserve"> PAGEREF _Toc3249 \h </w:instrText>
      </w:r>
      <w:r>
        <w:fldChar w:fldCharType="separate"/>
      </w:r>
      <w:r>
        <w:t>6</w:t>
      </w:r>
      <w:r>
        <w:fldChar w:fldCharType="end"/>
      </w:r>
      <w:r>
        <w:fldChar w:fldCharType="end"/>
      </w:r>
    </w:p>
    <w:p w14:paraId="382AD790">
      <w:pPr>
        <w:pStyle w:val="31"/>
        <w:tabs>
          <w:tab w:val="right" w:leader="dot" w:pos="8390"/>
        </w:tabs>
      </w:pPr>
      <w:r>
        <w:fldChar w:fldCharType="begin"/>
      </w:r>
      <w:r>
        <w:instrText xml:space="preserve"> HYPERLINK \l "_Toc11121" </w:instrText>
      </w:r>
      <w:r>
        <w:fldChar w:fldCharType="separate"/>
      </w:r>
      <w:r>
        <w:t>第三章  投标人须知</w:t>
      </w:r>
      <w:r>
        <w:tab/>
      </w:r>
      <w:r>
        <w:fldChar w:fldCharType="begin"/>
      </w:r>
      <w:r>
        <w:instrText xml:space="preserve"> PAGEREF _Toc11121 \h </w:instrText>
      </w:r>
      <w:r>
        <w:fldChar w:fldCharType="separate"/>
      </w:r>
      <w:r>
        <w:t>10</w:t>
      </w:r>
      <w:r>
        <w:fldChar w:fldCharType="end"/>
      </w:r>
      <w:r>
        <w:fldChar w:fldCharType="end"/>
      </w:r>
    </w:p>
    <w:p w14:paraId="5B568398">
      <w:pPr>
        <w:pStyle w:val="31"/>
        <w:tabs>
          <w:tab w:val="right" w:leader="dot" w:pos="8390"/>
        </w:tabs>
      </w:pPr>
      <w:r>
        <w:fldChar w:fldCharType="begin"/>
      </w:r>
      <w:r>
        <w:instrText xml:space="preserve"> HYPERLINK \l "_Toc11581" </w:instrText>
      </w:r>
      <w:r>
        <w:fldChar w:fldCharType="separate"/>
      </w:r>
      <w:r>
        <w:t>第四章  评标办法及评分标准</w:t>
      </w:r>
      <w:r>
        <w:tab/>
      </w:r>
      <w:r>
        <w:fldChar w:fldCharType="begin"/>
      </w:r>
      <w:r>
        <w:instrText xml:space="preserve"> PAGEREF _Toc11581 \h </w:instrText>
      </w:r>
      <w:r>
        <w:fldChar w:fldCharType="separate"/>
      </w:r>
      <w:r>
        <w:t>22</w:t>
      </w:r>
      <w:r>
        <w:fldChar w:fldCharType="end"/>
      </w:r>
      <w:r>
        <w:fldChar w:fldCharType="end"/>
      </w:r>
    </w:p>
    <w:p w14:paraId="6F15698D">
      <w:pPr>
        <w:pStyle w:val="31"/>
        <w:tabs>
          <w:tab w:val="right" w:leader="dot" w:pos="8390"/>
        </w:tabs>
      </w:pPr>
      <w:r>
        <w:fldChar w:fldCharType="begin"/>
      </w:r>
      <w:r>
        <w:instrText xml:space="preserve"> HYPERLINK \l "_Toc9123" </w:instrText>
      </w:r>
      <w:r>
        <w:fldChar w:fldCharType="separate"/>
      </w:r>
      <w:r>
        <w:t>第五章  合同主要条款</w:t>
      </w:r>
      <w:r>
        <w:tab/>
      </w:r>
      <w:r>
        <w:fldChar w:fldCharType="begin"/>
      </w:r>
      <w:r>
        <w:instrText xml:space="preserve"> PAGEREF _Toc9123 \h </w:instrText>
      </w:r>
      <w:r>
        <w:fldChar w:fldCharType="separate"/>
      </w:r>
      <w:r>
        <w:t>26</w:t>
      </w:r>
      <w:r>
        <w:fldChar w:fldCharType="end"/>
      </w:r>
      <w:r>
        <w:fldChar w:fldCharType="end"/>
      </w:r>
    </w:p>
    <w:p w14:paraId="5B8A23FD">
      <w:pPr>
        <w:pStyle w:val="31"/>
        <w:tabs>
          <w:tab w:val="right" w:leader="dot" w:pos="8390"/>
        </w:tabs>
      </w:pPr>
      <w:r>
        <w:fldChar w:fldCharType="begin"/>
      </w:r>
      <w:r>
        <w:instrText xml:space="preserve"> HYPERLINK \l "_Toc19267" </w:instrText>
      </w:r>
      <w:r>
        <w:fldChar w:fldCharType="separate"/>
      </w:r>
      <w:r>
        <w:rPr>
          <w:rFonts w:hint="eastAsia"/>
        </w:rPr>
        <w:t xml:space="preserve">第六章  </w:t>
      </w:r>
      <w:r>
        <w:t>投标文件格式</w:t>
      </w:r>
      <w:r>
        <w:tab/>
      </w:r>
      <w:r>
        <w:fldChar w:fldCharType="begin"/>
      </w:r>
      <w:r>
        <w:instrText xml:space="preserve"> PAGEREF _Toc19267 \h </w:instrText>
      </w:r>
      <w:r>
        <w:fldChar w:fldCharType="separate"/>
      </w:r>
      <w:r>
        <w:t>48</w:t>
      </w:r>
      <w:r>
        <w:fldChar w:fldCharType="end"/>
      </w:r>
      <w:r>
        <w:fldChar w:fldCharType="end"/>
      </w:r>
    </w:p>
    <w:p w14:paraId="0CE6AD32">
      <w:pPr>
        <w:ind w:firstLine="0" w:firstLineChars="0"/>
        <w:jc w:val="center"/>
        <w:rPr>
          <w:b/>
          <w:sz w:val="28"/>
          <w:szCs w:val="21"/>
        </w:rPr>
      </w:pPr>
      <w:r>
        <w:rPr>
          <w:szCs w:val="28"/>
        </w:rPr>
        <w:fldChar w:fldCharType="end"/>
      </w:r>
    </w:p>
    <w:p w14:paraId="5D28544A">
      <w:pPr>
        <w:pStyle w:val="3"/>
      </w:pPr>
      <w:r>
        <w:rPr>
          <w:sz w:val="28"/>
          <w:szCs w:val="21"/>
        </w:rPr>
        <w:br w:type="page"/>
      </w:r>
      <w:bookmarkStart w:id="0" w:name="_Toc14217"/>
      <w:bookmarkStart w:id="1" w:name="_Toc24126"/>
      <w:r>
        <w:t>第一章  招标公告</w:t>
      </w:r>
      <w:bookmarkEnd w:id="0"/>
      <w:bookmarkEnd w:id="1"/>
    </w:p>
    <w:p w14:paraId="19243494">
      <w:pPr>
        <w:ind w:firstLine="420"/>
      </w:pPr>
      <w:r>
        <w:t>宁波中基国际招标有限公司</w:t>
      </w:r>
      <w:r>
        <w:rPr>
          <w:lang w:val="zh-CN"/>
        </w:rPr>
        <w:t>受</w:t>
      </w:r>
      <w:r>
        <w:rPr>
          <w:rFonts w:hint="eastAsia"/>
        </w:rPr>
        <w:t>温州金洋集装箱码头有限公司</w:t>
      </w:r>
      <w:r>
        <w:rPr>
          <w:lang w:val="zh-CN"/>
        </w:rPr>
        <w:t>的委托，</w:t>
      </w:r>
      <w:r>
        <w:t>拟对</w:t>
      </w:r>
      <w:r>
        <w:rPr>
          <w:rFonts w:hint="eastAsia"/>
        </w:rPr>
        <w:t>温州金洋集装箱码头有限公司超融合升级扩容</w:t>
      </w:r>
      <w:r>
        <w:t>进行</w:t>
      </w:r>
      <w:bookmarkStart w:id="2" w:name="gxebd_biddingMethod_2"/>
      <w:r>
        <w:t>公开招标</w:t>
      </w:r>
      <w:bookmarkEnd w:id="2"/>
      <w:r>
        <w:t>，欢迎符合资格条件的投标人前来投标。</w:t>
      </w:r>
    </w:p>
    <w:p w14:paraId="20417716">
      <w:pPr>
        <w:pStyle w:val="4"/>
        <w:numPr>
          <w:ilvl w:val="0"/>
          <w:numId w:val="3"/>
        </w:numPr>
        <w:spacing w:before="120"/>
        <w:rPr>
          <w:rFonts w:hint="eastAsia"/>
          <w:color w:val="auto"/>
          <w:sz w:val="21"/>
          <w:lang w:eastAsia="zh-CN"/>
        </w:rPr>
      </w:pPr>
      <w:r>
        <w:rPr>
          <w:rFonts w:hint="eastAsia"/>
          <w:color w:val="auto"/>
          <w:sz w:val="21"/>
        </w:rPr>
        <w:t>项目编号</w:t>
      </w:r>
      <w:r>
        <w:rPr>
          <w:rFonts w:hint="eastAsia"/>
          <w:color w:val="auto"/>
          <w:sz w:val="21"/>
          <w:lang w:eastAsia="zh-CN"/>
        </w:rPr>
        <w:t>：JYWZCG2026116</w:t>
      </w:r>
    </w:p>
    <w:p w14:paraId="5A1C3E6A">
      <w:pPr>
        <w:pStyle w:val="4"/>
        <w:numPr>
          <w:ilvl w:val="0"/>
          <w:numId w:val="3"/>
        </w:numPr>
        <w:spacing w:before="120"/>
        <w:rPr>
          <w:color w:val="auto"/>
          <w:sz w:val="21"/>
        </w:rPr>
      </w:pPr>
      <w:r>
        <w:rPr>
          <w:rFonts w:hint="eastAsia"/>
          <w:color w:val="auto"/>
          <w:sz w:val="21"/>
        </w:rPr>
        <w:t>本项目采用公开招标（两步开标法），资格后审方式。</w:t>
      </w:r>
    </w:p>
    <w:p w14:paraId="0B12AC1F">
      <w:pPr>
        <w:pStyle w:val="4"/>
        <w:spacing w:before="120"/>
        <w:rPr>
          <w:color w:val="auto"/>
          <w:sz w:val="21"/>
        </w:rPr>
      </w:pPr>
      <w:r>
        <w:rPr>
          <w:color w:val="auto"/>
          <w:sz w:val="21"/>
        </w:rPr>
        <w:t xml:space="preserve">三、项目概况 </w:t>
      </w:r>
    </w:p>
    <w:p w14:paraId="671CDF84">
      <w:pPr>
        <w:ind w:firstLine="420"/>
        <w:rPr>
          <w:rFonts w:ascii="宋体" w:hAnsi="宋体" w:cs="宋体"/>
          <w:szCs w:val="21"/>
        </w:rPr>
      </w:pPr>
      <w:bookmarkStart w:id="3" w:name="gxebd_projectOverviewScope_1"/>
      <w:r>
        <w:rPr>
          <w:rFonts w:hint="eastAsia" w:ascii="宋体" w:hAnsi="宋体" w:cs="宋体"/>
          <w:szCs w:val="21"/>
        </w:rPr>
        <w:t>1.项目名称：温州金洋集装箱码头有限公司超融合升级扩容</w:t>
      </w:r>
    </w:p>
    <w:bookmarkEnd w:id="3"/>
    <w:p w14:paraId="7A78B9A8">
      <w:pPr>
        <w:pStyle w:val="8"/>
        <w:ind w:firstLine="420"/>
        <w:rPr>
          <w:rFonts w:ascii="宋体" w:hAnsi="宋体" w:cs="宋体"/>
          <w:sz w:val="21"/>
          <w:szCs w:val="21"/>
        </w:rPr>
      </w:pPr>
      <w:r>
        <w:rPr>
          <w:rFonts w:hint="eastAsia" w:ascii="宋体" w:hAnsi="宋体" w:cs="宋体"/>
          <w:sz w:val="21"/>
          <w:szCs w:val="21"/>
        </w:rPr>
        <w:t>2.招标内容：温州金洋集装箱码头有限公司超融合升级扩容，包括但不限于超融合相关硬件供货、软件升级、虚拟化平台扩容、部署安装、调试优化及验收相关服务等，具体详见招标文件第二章招标需求。</w:t>
      </w:r>
    </w:p>
    <w:p w14:paraId="5C77FAD4">
      <w:pPr>
        <w:pStyle w:val="8"/>
        <w:ind w:firstLine="420"/>
        <w:rPr>
          <w:rFonts w:ascii="宋体" w:hAnsi="宋体" w:cs="宋体"/>
          <w:sz w:val="21"/>
          <w:szCs w:val="21"/>
        </w:rPr>
      </w:pPr>
      <w:r>
        <w:rPr>
          <w:rFonts w:hint="eastAsia" w:ascii="宋体" w:hAnsi="宋体" w:cs="宋体"/>
          <w:sz w:val="21"/>
          <w:szCs w:val="21"/>
        </w:rPr>
        <w:t>3.交货地点：温州金洋集装箱码头有限公司港区内</w:t>
      </w:r>
    </w:p>
    <w:p w14:paraId="70C35640">
      <w:pPr>
        <w:adjustRightInd w:val="0"/>
        <w:snapToGrid w:val="0"/>
        <w:ind w:firstLine="420"/>
        <w:rPr>
          <w:rFonts w:ascii="宋体" w:hAnsi="宋体" w:cs="宋体"/>
          <w:szCs w:val="21"/>
        </w:rPr>
      </w:pPr>
      <w:r>
        <w:rPr>
          <w:rFonts w:hint="eastAsia" w:ascii="宋体" w:hAnsi="宋体" w:cs="宋体"/>
          <w:szCs w:val="21"/>
        </w:rPr>
        <w:t>4.交货期：在合同签订后90个日历天内完成合同范围内产品供货、安装、调试，并通过招标人验收合格。</w:t>
      </w:r>
    </w:p>
    <w:p w14:paraId="1F055475">
      <w:pPr>
        <w:adjustRightInd w:val="0"/>
        <w:snapToGrid w:val="0"/>
        <w:ind w:firstLine="420"/>
        <w:rPr>
          <w:rFonts w:ascii="宋体" w:hAnsi="宋体" w:cs="宋体"/>
          <w:kern w:val="58"/>
          <w:szCs w:val="21"/>
        </w:rPr>
      </w:pPr>
      <w:r>
        <w:rPr>
          <w:rFonts w:hint="eastAsia" w:ascii="宋体" w:hAnsi="宋体" w:cs="宋体"/>
          <w:kern w:val="58"/>
          <w:szCs w:val="21"/>
        </w:rPr>
        <w:t>5.技术要求：详见第二章招标需求。</w:t>
      </w:r>
    </w:p>
    <w:p w14:paraId="34F84774">
      <w:pPr>
        <w:adjustRightInd w:val="0"/>
        <w:snapToGrid w:val="0"/>
        <w:ind w:firstLine="420"/>
        <w:rPr>
          <w:rFonts w:ascii="宋体" w:hAnsi="宋体" w:cs="宋体"/>
          <w:kern w:val="58"/>
          <w:szCs w:val="21"/>
        </w:rPr>
      </w:pPr>
      <w:r>
        <w:rPr>
          <w:rFonts w:hint="eastAsia" w:ascii="宋体" w:hAnsi="宋体" w:cs="宋体"/>
          <w:kern w:val="58"/>
          <w:szCs w:val="21"/>
        </w:rPr>
        <w:t>6.最高限价：人民币24万元，投标报价超过最高限价的作无效标处理。</w:t>
      </w:r>
    </w:p>
    <w:p w14:paraId="10BE4286">
      <w:pPr>
        <w:pStyle w:val="4"/>
        <w:spacing w:before="120"/>
        <w:rPr>
          <w:color w:val="auto"/>
          <w:sz w:val="21"/>
        </w:rPr>
      </w:pPr>
      <w:r>
        <w:rPr>
          <w:rFonts w:hint="eastAsia"/>
          <w:color w:val="auto"/>
          <w:sz w:val="21"/>
        </w:rPr>
        <w:t>四、合格投标人的资格要求</w:t>
      </w:r>
    </w:p>
    <w:p w14:paraId="63B9000E">
      <w:pPr>
        <w:pStyle w:val="8"/>
        <w:ind w:firstLine="420"/>
        <w:rPr>
          <w:rFonts w:ascii="宋体" w:hAnsi="宋体" w:cs="宋体"/>
          <w:sz w:val="21"/>
          <w:szCs w:val="21"/>
        </w:rPr>
      </w:pPr>
      <w:r>
        <w:rPr>
          <w:rFonts w:hint="eastAsia" w:ascii="宋体" w:hAnsi="宋体" w:cs="宋体"/>
          <w:sz w:val="21"/>
          <w:szCs w:val="21"/>
        </w:rPr>
        <w:t>1. 具有独立承担民事责任的能力；具有履行合同所必需的能力，具有完成本次招标项目的能力，提供有效的营业执照扫描件加盖公章。</w:t>
      </w:r>
    </w:p>
    <w:p w14:paraId="1CC918CD">
      <w:pPr>
        <w:pStyle w:val="43"/>
        <w:spacing w:line="360" w:lineRule="auto"/>
        <w:ind w:left="0" w:leftChars="0" w:firstLine="0" w:firstLineChars="0"/>
        <w:rPr>
          <w:rFonts w:ascii="宋体" w:hAnsi="宋体" w:cs="宋体"/>
          <w:szCs w:val="21"/>
        </w:rPr>
      </w:pPr>
      <w:r>
        <w:rPr>
          <w:rFonts w:hint="eastAsia" w:ascii="宋体" w:hAnsi="宋体" w:cs="宋体"/>
          <w:szCs w:val="21"/>
        </w:rPr>
        <w:t xml:space="preserve">    2. 投标人未被列入失信被执行人名单、重大税收违法案件当事人名单、政府采购严重违法失信行为记录名单，信用信息以信用中国网站（www.creditchina.gov.cn）、中国政府采购网（www.ccgp.gov.cn）公布为准。</w:t>
      </w:r>
    </w:p>
    <w:p w14:paraId="513A0785">
      <w:pPr>
        <w:ind w:firstLine="420"/>
        <w:rPr>
          <w:rFonts w:ascii="宋体" w:hAnsi="宋体" w:cs="宋体"/>
          <w:szCs w:val="21"/>
        </w:rPr>
      </w:pPr>
      <w:r>
        <w:rPr>
          <w:rFonts w:hint="eastAsia" w:ascii="宋体" w:hAnsi="宋体" w:cs="宋体"/>
          <w:szCs w:val="21"/>
        </w:rPr>
        <w:t>3. 单位负责人为同一人或者存在控股、管理关系的不同单位，不得参加同一标段投标或者未划分标段的同一招标项目投标。</w:t>
      </w:r>
    </w:p>
    <w:p w14:paraId="2BC1D5C6">
      <w:pPr>
        <w:ind w:firstLine="420"/>
        <w:rPr>
          <w:rFonts w:ascii="宋体" w:hAnsi="宋体" w:cs="宋体"/>
          <w:szCs w:val="21"/>
        </w:rPr>
      </w:pPr>
      <w:r>
        <w:rPr>
          <w:rFonts w:hint="eastAsia" w:ascii="宋体" w:hAnsi="宋体" w:cs="宋体"/>
          <w:szCs w:val="21"/>
        </w:rPr>
        <w:t>4. 本项目不允许联合体投标，不允许转包。</w:t>
      </w:r>
    </w:p>
    <w:p w14:paraId="5F4D781C">
      <w:pPr>
        <w:pStyle w:val="4"/>
        <w:spacing w:before="120"/>
        <w:rPr>
          <w:color w:val="auto"/>
          <w:sz w:val="21"/>
        </w:rPr>
      </w:pPr>
      <w:r>
        <w:rPr>
          <w:rFonts w:hint="eastAsia"/>
          <w:color w:val="auto"/>
          <w:sz w:val="21"/>
        </w:rPr>
        <w:t>五、招标文件的获取</w:t>
      </w:r>
    </w:p>
    <w:p w14:paraId="24D89A8D">
      <w:pPr>
        <w:ind w:firstLine="420"/>
        <w:rPr>
          <w:szCs w:val="21"/>
        </w:rPr>
      </w:pPr>
      <w:r>
        <w:rPr>
          <w:szCs w:val="21"/>
        </w:rPr>
        <w:t xml:space="preserve">1. 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下载。 </w:t>
      </w:r>
    </w:p>
    <w:p w14:paraId="286D6E6F">
      <w:pPr>
        <w:ind w:firstLine="420"/>
        <w:rPr>
          <w:szCs w:val="21"/>
        </w:rPr>
      </w:pPr>
      <w:r>
        <w:rPr>
          <w:szCs w:val="21"/>
        </w:rPr>
        <w:t>2. 网上报名时间</w:t>
      </w:r>
      <w:bookmarkStart w:id="4" w:name="gxebd_docDownloadStartTime_1"/>
      <w:r>
        <w:rPr>
          <w:szCs w:val="21"/>
        </w:rPr>
        <w:t>：202</w:t>
      </w:r>
      <w:r>
        <w:rPr>
          <w:rFonts w:hint="eastAsia"/>
          <w:szCs w:val="21"/>
        </w:rPr>
        <w:t>6</w:t>
      </w:r>
      <w:r>
        <w:rPr>
          <w:szCs w:val="21"/>
        </w:rPr>
        <w:t>年</w:t>
      </w:r>
      <w:r>
        <w:rPr>
          <w:rFonts w:hint="eastAsia"/>
          <w:szCs w:val="21"/>
        </w:rPr>
        <w:t xml:space="preserve">  </w:t>
      </w:r>
      <w:r>
        <w:rPr>
          <w:szCs w:val="21"/>
        </w:rPr>
        <w:t>月</w:t>
      </w:r>
      <w:r>
        <w:rPr>
          <w:rFonts w:hint="eastAsia"/>
          <w:szCs w:val="21"/>
        </w:rPr>
        <w:t xml:space="preserve">  </w:t>
      </w:r>
      <w:r>
        <w:rPr>
          <w:szCs w:val="21"/>
        </w:rPr>
        <w:t xml:space="preserve">日 </w:t>
      </w:r>
      <w:bookmarkEnd w:id="4"/>
      <w:r>
        <w:rPr>
          <w:szCs w:val="21"/>
        </w:rPr>
        <w:t>至</w:t>
      </w:r>
      <w:bookmarkStart w:id="5" w:name="gxebd_docDownloadEndTime_1"/>
      <w:r>
        <w:rPr>
          <w:szCs w:val="21"/>
        </w:rPr>
        <w:t>202</w:t>
      </w:r>
      <w:r>
        <w:rPr>
          <w:rFonts w:hint="eastAsia"/>
          <w:szCs w:val="21"/>
        </w:rPr>
        <w:t>6</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16</w:t>
      </w:r>
      <w:r>
        <w:rPr>
          <w:szCs w:val="21"/>
        </w:rPr>
        <w:t>时</w:t>
      </w:r>
      <w:r>
        <w:rPr>
          <w:rFonts w:hint="eastAsia"/>
          <w:szCs w:val="21"/>
        </w:rPr>
        <w:t>00</w:t>
      </w:r>
      <w:r>
        <w:rPr>
          <w:szCs w:val="21"/>
        </w:rPr>
        <w:t>分</w:t>
      </w:r>
      <w:bookmarkEnd w:id="5"/>
      <w:r>
        <w:rPr>
          <w:szCs w:val="21"/>
        </w:rPr>
        <w:t xml:space="preserve">。 </w:t>
      </w:r>
    </w:p>
    <w:p w14:paraId="73871077">
      <w:pPr>
        <w:ind w:firstLine="420"/>
        <w:rPr>
          <w:szCs w:val="21"/>
        </w:rPr>
      </w:pPr>
      <w:r>
        <w:rPr>
          <w:szCs w:val="21"/>
        </w:rPr>
        <w:t xml:space="preserve">3. 未取得浙江省海港集团电子招标采购平台数字证书的投标人，投标前应先办理浙江省海港集团电子招标采购平台CA数字证书，具体办理指南及下载链接请至浙江省海港集团电子招标采购平台进行查看。 </w:t>
      </w:r>
    </w:p>
    <w:p w14:paraId="788365C0">
      <w:pPr>
        <w:pStyle w:val="4"/>
        <w:spacing w:before="120"/>
        <w:rPr>
          <w:color w:val="auto"/>
          <w:sz w:val="21"/>
        </w:rPr>
      </w:pPr>
      <w:r>
        <w:rPr>
          <w:rFonts w:hint="eastAsia"/>
          <w:color w:val="auto"/>
          <w:sz w:val="21"/>
        </w:rPr>
        <w:t>六、投标保证金</w:t>
      </w:r>
    </w:p>
    <w:p w14:paraId="781B0DE5">
      <w:pPr>
        <w:ind w:firstLine="420"/>
        <w:rPr>
          <w:szCs w:val="21"/>
        </w:rPr>
      </w:pPr>
      <w:r>
        <w:rPr>
          <w:szCs w:val="21"/>
        </w:rPr>
        <w:t>1. 金额：</w:t>
      </w:r>
      <w:r>
        <w:rPr>
          <w:rFonts w:hint="eastAsia"/>
          <w:b/>
          <w:bCs/>
          <w:szCs w:val="21"/>
        </w:rPr>
        <w:t>4500元整</w:t>
      </w:r>
      <w:r>
        <w:rPr>
          <w:szCs w:val="21"/>
        </w:rPr>
        <w:t xml:space="preserve">。 </w:t>
      </w:r>
    </w:p>
    <w:p w14:paraId="506631FB">
      <w:pPr>
        <w:ind w:firstLine="420"/>
        <w:rPr>
          <w:szCs w:val="21"/>
        </w:rPr>
      </w:pPr>
      <w:r>
        <w:rPr>
          <w:szCs w:val="21"/>
        </w:rPr>
        <w:t>2. 投标人应于</w:t>
      </w:r>
      <w:bookmarkStart w:id="6" w:name="gxebd_bidBoundEndTime_1"/>
      <w:r>
        <w:rPr>
          <w:szCs w:val="21"/>
        </w:rPr>
        <w:t>202</w:t>
      </w:r>
      <w:r>
        <w:rPr>
          <w:rFonts w:hint="eastAsia"/>
          <w:szCs w:val="21"/>
        </w:rPr>
        <w:t>6</w:t>
      </w:r>
      <w:r>
        <w:rPr>
          <w:szCs w:val="21"/>
        </w:rPr>
        <w:t>年</w:t>
      </w:r>
      <w:r>
        <w:rPr>
          <w:rFonts w:hint="eastAsia"/>
          <w:szCs w:val="21"/>
        </w:rPr>
        <w:t xml:space="preserve">  </w:t>
      </w:r>
      <w:r>
        <w:rPr>
          <w:szCs w:val="21"/>
        </w:rPr>
        <w:t>月</w:t>
      </w:r>
      <w:r>
        <w:rPr>
          <w:rFonts w:hint="eastAsia"/>
          <w:szCs w:val="21"/>
        </w:rPr>
        <w:t xml:space="preserve">  </w:t>
      </w:r>
      <w:r>
        <w:rPr>
          <w:szCs w:val="21"/>
        </w:rPr>
        <w:t>日16时</w:t>
      </w:r>
      <w:bookmarkEnd w:id="6"/>
      <w:r>
        <w:rPr>
          <w:szCs w:val="21"/>
        </w:rPr>
        <w:t>00分前通过浙江省海港集团电子招标采购平台汇入指定账户。</w:t>
      </w:r>
    </w:p>
    <w:p w14:paraId="71606B1E">
      <w:pPr>
        <w:ind w:firstLine="420"/>
        <w:rPr>
          <w:szCs w:val="21"/>
        </w:rPr>
      </w:pPr>
      <w:r>
        <w:rPr>
          <w:szCs w:val="21"/>
        </w:rPr>
        <w:t>3. 投标保证金应通过</w:t>
      </w:r>
      <w:r>
        <w:rPr>
          <w:b/>
          <w:bCs/>
          <w:szCs w:val="21"/>
        </w:rPr>
        <w:t>投标单位银行基本账户</w:t>
      </w:r>
      <w:r>
        <w:rPr>
          <w:szCs w:val="21"/>
        </w:rPr>
        <w:t>汇入，否则视为投标保证金无效。</w:t>
      </w:r>
    </w:p>
    <w:p w14:paraId="25E8AC2F">
      <w:pPr>
        <w:pStyle w:val="4"/>
        <w:spacing w:before="120"/>
        <w:rPr>
          <w:color w:val="auto"/>
          <w:sz w:val="21"/>
        </w:rPr>
      </w:pPr>
      <w:r>
        <w:rPr>
          <w:color w:val="auto"/>
          <w:sz w:val="21"/>
        </w:rPr>
        <w:t>七、投标截止时间和地点</w:t>
      </w:r>
    </w:p>
    <w:p w14:paraId="7FA20250">
      <w:pPr>
        <w:ind w:firstLine="422"/>
        <w:rPr>
          <w:szCs w:val="21"/>
        </w:rPr>
      </w:pPr>
      <w:r>
        <w:rPr>
          <w:b/>
          <w:bCs/>
          <w:szCs w:val="21"/>
        </w:rPr>
        <w:t>1. 投标文件递交截止时间：</w:t>
      </w:r>
      <w:bookmarkStart w:id="7" w:name="gxebd_submitEndDate_1"/>
      <w:r>
        <w:rPr>
          <w:b/>
          <w:bCs/>
          <w:szCs w:val="21"/>
        </w:rPr>
        <w:t>202</w:t>
      </w:r>
      <w:r>
        <w:rPr>
          <w:rFonts w:hint="eastAsia"/>
          <w:b/>
          <w:bCs/>
          <w:szCs w:val="21"/>
        </w:rPr>
        <w:t>6</w:t>
      </w:r>
      <w:r>
        <w:rPr>
          <w:b/>
          <w:bCs/>
          <w:szCs w:val="21"/>
        </w:rPr>
        <w:t>年</w:t>
      </w:r>
      <w:r>
        <w:rPr>
          <w:rFonts w:hint="eastAsia"/>
          <w:b/>
          <w:bCs/>
          <w:szCs w:val="21"/>
        </w:rPr>
        <w:t xml:space="preserve">  </w:t>
      </w:r>
      <w:r>
        <w:rPr>
          <w:b/>
          <w:bCs/>
          <w:szCs w:val="21"/>
        </w:rPr>
        <w:t>月</w:t>
      </w:r>
      <w:r>
        <w:rPr>
          <w:rFonts w:hint="eastAsia"/>
          <w:b/>
          <w:bCs/>
          <w:szCs w:val="21"/>
        </w:rPr>
        <w:t xml:space="preserve">  </w:t>
      </w:r>
      <w:r>
        <w:rPr>
          <w:b/>
          <w:bCs/>
          <w:szCs w:val="21"/>
        </w:rPr>
        <w:t>日</w:t>
      </w:r>
      <w:r>
        <w:rPr>
          <w:rFonts w:hint="eastAsia"/>
          <w:b/>
          <w:bCs/>
          <w:szCs w:val="21"/>
        </w:rPr>
        <w:t>9</w:t>
      </w:r>
      <w:r>
        <w:rPr>
          <w:b/>
          <w:bCs/>
          <w:szCs w:val="21"/>
        </w:rPr>
        <w:t>时</w:t>
      </w:r>
      <w:r>
        <w:rPr>
          <w:rFonts w:hint="eastAsia"/>
          <w:b/>
          <w:bCs/>
          <w:szCs w:val="21"/>
        </w:rPr>
        <w:t>00</w:t>
      </w:r>
      <w:r>
        <w:rPr>
          <w:b/>
          <w:bCs/>
          <w:szCs w:val="21"/>
        </w:rPr>
        <w:t>分</w:t>
      </w:r>
      <w:bookmarkEnd w:id="7"/>
      <w:r>
        <w:rPr>
          <w:b/>
          <w:bCs/>
          <w:szCs w:val="21"/>
        </w:rPr>
        <w:t>。</w:t>
      </w:r>
      <w:r>
        <w:rPr>
          <w:szCs w:val="21"/>
        </w:rPr>
        <w:t xml:space="preserve"> </w:t>
      </w:r>
    </w:p>
    <w:p w14:paraId="0726AD41">
      <w:pPr>
        <w:ind w:firstLine="420"/>
        <w:rPr>
          <w:szCs w:val="21"/>
        </w:rPr>
      </w:pPr>
      <w:r>
        <w:rPr>
          <w:szCs w:val="21"/>
        </w:rPr>
        <w:t>2. 投标文件递交方式：</w:t>
      </w:r>
    </w:p>
    <w:p w14:paraId="7889DE9B">
      <w:pPr>
        <w:ind w:firstLine="420"/>
        <w:rPr>
          <w:szCs w:val="21"/>
        </w:rPr>
      </w:pPr>
      <w:r>
        <w:rPr>
          <w:szCs w:val="21"/>
        </w:rPr>
        <w:t>线上递交方式（投标管家工具）：投标人在投标文件递交时间截止前（</w:t>
      </w:r>
      <w:bookmarkStart w:id="8" w:name="gxebd_submitEndDate_2"/>
      <w:r>
        <w:rPr>
          <w:szCs w:val="21"/>
        </w:rPr>
        <w:t>202</w:t>
      </w:r>
      <w:r>
        <w:rPr>
          <w:rFonts w:hint="eastAsia"/>
          <w:szCs w:val="21"/>
        </w:rPr>
        <w:t>6</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09</w:t>
      </w:r>
      <w:r>
        <w:rPr>
          <w:szCs w:val="21"/>
        </w:rPr>
        <w:t>时</w:t>
      </w:r>
      <w:r>
        <w:rPr>
          <w:rFonts w:hint="eastAsia"/>
          <w:szCs w:val="21"/>
        </w:rPr>
        <w:t>00</w:t>
      </w:r>
      <w:r>
        <w:rPr>
          <w:szCs w:val="21"/>
        </w:rPr>
        <w:t>分</w:t>
      </w:r>
      <w:bookmarkEnd w:id="8"/>
      <w:r>
        <w:rPr>
          <w:szCs w:val="21"/>
        </w:rPr>
        <w:t xml:space="preserve">），将电子投标文件加密后递交至电子招标采购平台。 </w:t>
      </w:r>
    </w:p>
    <w:p w14:paraId="22197C3E">
      <w:pPr>
        <w:pStyle w:val="4"/>
        <w:spacing w:before="120"/>
        <w:rPr>
          <w:color w:val="auto"/>
          <w:sz w:val="21"/>
        </w:rPr>
      </w:pPr>
      <w:r>
        <w:rPr>
          <w:color w:val="auto"/>
          <w:sz w:val="21"/>
        </w:rPr>
        <w:t>八、开标时间地点及注意事项</w:t>
      </w:r>
    </w:p>
    <w:p w14:paraId="4785F38F">
      <w:pPr>
        <w:widowControl/>
        <w:ind w:firstLine="420"/>
        <w:contextualSpacing/>
        <w:rPr>
          <w:rFonts w:ascii="宋体" w:hAnsi="宋体" w:cs="宋体"/>
          <w:color w:val="000000"/>
          <w:kern w:val="0"/>
          <w:szCs w:val="21"/>
        </w:rPr>
      </w:pPr>
      <w:r>
        <w:rPr>
          <w:rFonts w:hint="eastAsia" w:ascii="宋体" w:hAnsi="宋体" w:cs="宋体"/>
          <w:color w:val="000000"/>
          <w:kern w:val="0"/>
          <w:szCs w:val="21"/>
        </w:rPr>
        <w:t>本次招标将于2026年  月  日09时00分在</w:t>
      </w:r>
      <w:r>
        <w:rPr>
          <w:rFonts w:hint="eastAsia" w:hAnsi="宋体" w:cs="宋体"/>
          <w:sz w:val="22"/>
          <w:szCs w:val="22"/>
        </w:rPr>
        <w:t>温州市鹿城区瓯江路海港大厦1号楼2楼</w:t>
      </w:r>
      <w:r>
        <w:rPr>
          <w:rFonts w:hint="eastAsia" w:ascii="宋体" w:hAnsi="宋体" w:cs="宋体"/>
          <w:color w:val="000000"/>
          <w:kern w:val="0"/>
          <w:szCs w:val="21"/>
        </w:rPr>
        <w:t>在线公开开标。</w:t>
      </w:r>
    </w:p>
    <w:p w14:paraId="6FB2795D">
      <w:pPr>
        <w:ind w:firstLine="422"/>
        <w:rPr>
          <w:b/>
          <w:bCs/>
        </w:rPr>
      </w:pPr>
      <w:r>
        <w:rPr>
          <w:b/>
          <w:bCs/>
        </w:rPr>
        <w:t>注意事项：</w:t>
      </w:r>
    </w:p>
    <w:p w14:paraId="79F28B3E">
      <w:pPr>
        <w:ind w:firstLine="422"/>
        <w:rPr>
          <w:b/>
          <w:bCs/>
        </w:rPr>
      </w:pPr>
      <w:bookmarkStart w:id="9" w:name="OLE_LINK5"/>
      <w:r>
        <w:rPr>
          <w:rFonts w:hint="eastAsia"/>
          <w:b/>
          <w:bCs/>
        </w:rPr>
        <w:t>★</w:t>
      </w:r>
      <w:bookmarkEnd w:id="9"/>
      <w:r>
        <w:rPr>
          <w:rFonts w:hint="eastAsia"/>
          <w:b/>
          <w:bCs/>
        </w:rPr>
        <w:t>1. 本项目采用两步开标法，第一阶段先开启各投标人的“资审文件”及“商务技术标”，第二阶段待“资审文件”及“商务技术标”完成评审公布结果后，开启各投标人的“价格标”；</w:t>
      </w:r>
    </w:p>
    <w:p w14:paraId="67B96F49">
      <w:pPr>
        <w:ind w:firstLine="422"/>
        <w:rPr>
          <w:b/>
          <w:bCs/>
        </w:rPr>
      </w:pPr>
      <w:r>
        <w:rPr>
          <w:rFonts w:hint="eastAsia"/>
          <w:b/>
          <w:bCs/>
        </w:rPr>
        <w:t>★2. 各投标人提交的“资格文件”及“商务技术标”不得出现本项目的“价格标”内容及投标报价，否则作无效标处理；</w:t>
      </w:r>
    </w:p>
    <w:p w14:paraId="7D54A594">
      <w:pPr>
        <w:ind w:firstLine="422"/>
        <w:rPr>
          <w:b/>
          <w:bCs/>
        </w:rPr>
      </w:pPr>
      <w:r>
        <w:rPr>
          <w:rFonts w:hint="eastAsia"/>
          <w:b/>
          <w:bCs/>
        </w:rPr>
        <w:t>3</w:t>
      </w:r>
      <w:r>
        <w:rPr>
          <w:b/>
          <w:bCs/>
        </w:rPr>
        <w:t>. 投标人于</w:t>
      </w:r>
      <w:r>
        <w:rPr>
          <w:rFonts w:hint="eastAsia"/>
          <w:b/>
          <w:bCs/>
        </w:rPr>
        <w:t>投标</w:t>
      </w:r>
      <w:r>
        <w:rPr>
          <w:b/>
          <w:bCs/>
        </w:rPr>
        <w:t>截止时间之后三十分钟内在“浙江海港投标管家”工具端—进入项目—开标—远程开标模块，点击“确认开标结果”按钮进行确认，如超时未确认，视作投标人已对开标结果确认无误</w:t>
      </w:r>
      <w:r>
        <w:rPr>
          <w:rFonts w:hint="eastAsia"/>
          <w:b/>
          <w:bCs/>
        </w:rPr>
        <w:t>；</w:t>
      </w:r>
    </w:p>
    <w:p w14:paraId="4B1577C7">
      <w:pPr>
        <w:ind w:firstLine="422"/>
        <w:rPr>
          <w:rFonts w:ascii="宋体" w:hAnsi="宋体" w:cs="宋体"/>
          <w:b/>
          <w:bCs/>
          <w:color w:val="000000"/>
          <w:kern w:val="0"/>
          <w:szCs w:val="21"/>
        </w:rPr>
      </w:pPr>
      <w:r>
        <w:rPr>
          <w:rFonts w:hint="eastAsia"/>
          <w:b/>
          <w:bCs/>
        </w:rPr>
        <w:t>4</w:t>
      </w:r>
      <w:r>
        <w:rPr>
          <w:b/>
          <w:bCs/>
        </w:rPr>
        <w:t>. 本项目采用电子招标，中标单位须在明确中标后、获取中标通知书前将相应的交易服务费缴入平台指定的集团账户（在“投标管家”工具中查看），具体收费标准详见招标文件或平台公告</w:t>
      </w:r>
      <w:r>
        <w:rPr>
          <w:rFonts w:hint="eastAsia" w:ascii="宋体" w:hAnsi="宋体" w:cs="宋体"/>
          <w:b/>
          <w:bCs/>
          <w:color w:val="000000"/>
          <w:kern w:val="0"/>
          <w:szCs w:val="21"/>
        </w:rPr>
        <w:t>。</w:t>
      </w:r>
    </w:p>
    <w:p w14:paraId="43BE188E">
      <w:pPr>
        <w:pStyle w:val="4"/>
        <w:spacing w:before="120"/>
        <w:rPr>
          <w:color w:val="auto"/>
          <w:sz w:val="21"/>
        </w:rPr>
      </w:pPr>
      <w:r>
        <w:rPr>
          <w:color w:val="auto"/>
          <w:sz w:val="21"/>
        </w:rPr>
        <w:t>九、联系方式</w:t>
      </w:r>
    </w:p>
    <w:p w14:paraId="5C29DD06">
      <w:pPr>
        <w:ind w:firstLine="420"/>
        <w:rPr>
          <w:rFonts w:ascii="宋体" w:hAnsi="宋体" w:cs="宋体"/>
          <w:szCs w:val="21"/>
        </w:rPr>
      </w:pPr>
      <w:r>
        <w:rPr>
          <w:rFonts w:hint="eastAsia" w:ascii="宋体" w:hAnsi="宋体" w:cs="宋体"/>
          <w:szCs w:val="21"/>
        </w:rPr>
        <w:t>1.招  标  人：温州金洋集装箱码头有限公司</w:t>
      </w:r>
    </w:p>
    <w:p w14:paraId="167DA662">
      <w:pPr>
        <w:ind w:firstLine="420"/>
        <w:rPr>
          <w:rFonts w:ascii="宋体" w:hAnsi="宋体" w:cs="宋体"/>
          <w:szCs w:val="21"/>
        </w:rPr>
      </w:pPr>
      <w:r>
        <w:rPr>
          <w:rFonts w:hint="eastAsia" w:ascii="宋体" w:hAnsi="宋体" w:cs="宋体"/>
          <w:szCs w:val="21"/>
        </w:rPr>
        <w:t>地址：浙江省乐清市柳市镇七里港</w:t>
      </w:r>
    </w:p>
    <w:p w14:paraId="29E32BA0">
      <w:pPr>
        <w:ind w:firstLine="420"/>
        <w:rPr>
          <w:rFonts w:ascii="宋体" w:hAnsi="宋体" w:cs="宋体"/>
          <w:szCs w:val="21"/>
        </w:rPr>
      </w:pPr>
      <w:r>
        <w:rPr>
          <w:rFonts w:hint="eastAsia" w:ascii="宋体" w:hAnsi="宋体" w:cs="宋体"/>
          <w:szCs w:val="21"/>
        </w:rPr>
        <w:t>联系人：陈先生</w:t>
      </w:r>
    </w:p>
    <w:p w14:paraId="53E4A67D">
      <w:pPr>
        <w:ind w:firstLine="420"/>
        <w:rPr>
          <w:rFonts w:ascii="宋体" w:hAnsi="宋体" w:cs="宋体"/>
          <w:szCs w:val="21"/>
        </w:rPr>
      </w:pPr>
      <w:r>
        <w:rPr>
          <w:rFonts w:hint="eastAsia" w:ascii="宋体" w:hAnsi="宋体" w:cs="宋体"/>
          <w:szCs w:val="21"/>
        </w:rPr>
        <w:t>联系方式：0577- 62677821</w:t>
      </w:r>
    </w:p>
    <w:p w14:paraId="5AAF8225">
      <w:pPr>
        <w:ind w:firstLine="420"/>
        <w:rPr>
          <w:rFonts w:ascii="宋体" w:hAnsi="宋体" w:cs="宋体"/>
          <w:szCs w:val="21"/>
        </w:rPr>
      </w:pPr>
      <w:r>
        <w:rPr>
          <w:rFonts w:hint="eastAsia" w:ascii="宋体" w:hAnsi="宋体" w:cs="宋体"/>
          <w:szCs w:val="21"/>
        </w:rPr>
        <w:t xml:space="preserve">2.招标代理机构：宁波中基国际招标有限公司 </w:t>
      </w:r>
    </w:p>
    <w:p w14:paraId="6AAF6FD9">
      <w:pPr>
        <w:ind w:firstLine="420"/>
        <w:rPr>
          <w:rFonts w:ascii="宋体" w:hAnsi="宋体" w:cs="宋体"/>
          <w:szCs w:val="21"/>
        </w:rPr>
      </w:pPr>
      <w:r>
        <w:rPr>
          <w:rFonts w:hint="eastAsia" w:ascii="宋体" w:hAnsi="宋体" w:cs="宋体"/>
          <w:szCs w:val="21"/>
        </w:rPr>
        <w:t>地址：宁波市鄞州区天童南路666号中基大厦19楼</w:t>
      </w:r>
    </w:p>
    <w:p w14:paraId="6230B0FF">
      <w:pPr>
        <w:ind w:firstLine="420"/>
        <w:rPr>
          <w:rFonts w:ascii="宋体" w:hAnsi="宋体" w:cs="宋体"/>
          <w:szCs w:val="21"/>
        </w:rPr>
      </w:pPr>
      <w:r>
        <w:rPr>
          <w:rFonts w:hint="eastAsia" w:ascii="宋体" w:hAnsi="宋体" w:cs="宋体"/>
          <w:szCs w:val="21"/>
        </w:rPr>
        <w:t>联系人：杨未、戴蓓霞、章黎栋、王辉云</w:t>
      </w:r>
    </w:p>
    <w:p w14:paraId="583AF3AE">
      <w:pPr>
        <w:ind w:firstLine="420"/>
        <w:rPr>
          <w:rFonts w:ascii="宋体" w:hAnsi="宋体" w:cs="宋体"/>
          <w:szCs w:val="21"/>
        </w:rPr>
      </w:pPr>
      <w:r>
        <w:rPr>
          <w:rFonts w:hint="eastAsia" w:ascii="宋体" w:hAnsi="宋体" w:cs="宋体"/>
          <w:szCs w:val="21"/>
        </w:rPr>
        <w:t>联系电话：0574-87425382、88090681</w:t>
      </w:r>
    </w:p>
    <w:p w14:paraId="1358609A">
      <w:pPr>
        <w:ind w:firstLine="420"/>
        <w:rPr>
          <w:rFonts w:ascii="宋体" w:hAnsi="宋体" w:cs="宋体"/>
          <w:szCs w:val="21"/>
        </w:rPr>
      </w:pPr>
      <w:r>
        <w:rPr>
          <w:rFonts w:hint="eastAsia" w:ascii="宋体" w:hAnsi="宋体" w:cs="宋体"/>
          <w:szCs w:val="21"/>
        </w:rPr>
        <w:t>传真：0574-87425386</w:t>
      </w:r>
    </w:p>
    <w:p w14:paraId="444AB962">
      <w:pPr>
        <w:ind w:firstLine="420"/>
        <w:rPr>
          <w:rFonts w:ascii="宋体" w:hAnsi="宋体" w:cs="宋体"/>
          <w:szCs w:val="21"/>
        </w:rPr>
      </w:pPr>
      <w:r>
        <w:rPr>
          <w:rFonts w:hint="eastAsia" w:ascii="宋体" w:hAnsi="宋体" w:cs="宋体"/>
          <w:szCs w:val="21"/>
        </w:rPr>
        <w:t>3.异议联系人（招标代理机构）：王老师</w:t>
      </w:r>
    </w:p>
    <w:p w14:paraId="43CBAFE3">
      <w:pPr>
        <w:ind w:firstLine="420"/>
        <w:rPr>
          <w:rFonts w:ascii="宋体" w:hAnsi="宋体" w:cs="宋体"/>
          <w:szCs w:val="21"/>
        </w:rPr>
      </w:pPr>
      <w:r>
        <w:rPr>
          <w:rFonts w:hint="eastAsia" w:ascii="宋体" w:hAnsi="宋体" w:cs="宋体"/>
          <w:szCs w:val="21"/>
        </w:rPr>
        <w:t>联系方式：0574-874255391</w:t>
      </w:r>
    </w:p>
    <w:p w14:paraId="652080B9">
      <w:pPr>
        <w:pStyle w:val="43"/>
        <w:ind w:left="0" w:leftChars="0"/>
        <w:rPr>
          <w:rFonts w:ascii="宋体" w:hAnsi="宋体" w:cs="宋体"/>
          <w:szCs w:val="21"/>
        </w:rPr>
      </w:pPr>
      <w:r>
        <w:rPr>
          <w:rFonts w:hint="eastAsia" w:ascii="宋体" w:hAnsi="宋体" w:cs="宋体"/>
          <w:szCs w:val="21"/>
        </w:rPr>
        <w:t>异议信息反馈邮箱：y-vivi@163.com</w:t>
      </w:r>
    </w:p>
    <w:p w14:paraId="1CB95636">
      <w:pPr>
        <w:snapToGrid w:val="0"/>
        <w:ind w:firstLine="420"/>
        <w:jc w:val="left"/>
        <w:rPr>
          <w:rFonts w:ascii="宋体" w:hAnsi="宋体"/>
          <w:bCs/>
          <w:kern w:val="0"/>
        </w:rPr>
      </w:pPr>
      <w:r>
        <w:rPr>
          <w:rFonts w:hint="eastAsia" w:ascii="宋体" w:hAnsi="宋体" w:cs="宋体"/>
          <w:szCs w:val="21"/>
        </w:rPr>
        <w:t>4.招标监督部门：</w:t>
      </w:r>
      <w:r>
        <w:rPr>
          <w:rFonts w:hint="eastAsia" w:ascii="宋体" w:hAnsi="宋体"/>
          <w:bCs/>
          <w:kern w:val="0"/>
        </w:rPr>
        <w:t>温州金洋集装箱码头有限公司纪检小组</w:t>
      </w:r>
    </w:p>
    <w:p w14:paraId="57227FC5">
      <w:pPr>
        <w:ind w:firstLine="420"/>
        <w:rPr>
          <w:rFonts w:ascii="宋体" w:hAnsi="宋体" w:cs="宋体"/>
          <w:szCs w:val="21"/>
        </w:rPr>
      </w:pPr>
      <w:r>
        <w:rPr>
          <w:rFonts w:hint="eastAsia" w:ascii="宋体" w:hAnsi="宋体" w:cs="宋体"/>
          <w:szCs w:val="21"/>
        </w:rPr>
        <w:t>联系电话：</w:t>
      </w:r>
      <w:r>
        <w:rPr>
          <w:rFonts w:hint="eastAsia" w:ascii="宋体" w:hAnsi="宋体"/>
          <w:bCs/>
          <w:kern w:val="0"/>
        </w:rPr>
        <w:t>0577-62677798</w:t>
      </w:r>
    </w:p>
    <w:p w14:paraId="3DBB80F6">
      <w:pPr>
        <w:ind w:firstLine="420"/>
        <w:rPr>
          <w:rFonts w:ascii="宋体" w:hAnsi="宋体" w:cs="宋体"/>
          <w:szCs w:val="21"/>
        </w:rPr>
      </w:pPr>
      <w:r>
        <w:rPr>
          <w:rFonts w:hint="eastAsia" w:ascii="宋体" w:hAnsi="宋体" w:cs="宋体"/>
          <w:szCs w:val="21"/>
        </w:rPr>
        <w:t>5.电子招标采购平台咨询电话：0574-27680520</w:t>
      </w:r>
    </w:p>
    <w:p w14:paraId="148419D4">
      <w:pPr>
        <w:ind w:firstLine="420"/>
        <w:rPr>
          <w:rFonts w:ascii="宋体" w:hAnsi="宋体" w:cs="宋体"/>
          <w:szCs w:val="21"/>
        </w:rPr>
      </w:pPr>
      <w:r>
        <w:rPr>
          <w:rFonts w:hint="eastAsia" w:ascii="宋体" w:hAnsi="宋体" w:cs="宋体"/>
          <w:szCs w:val="21"/>
        </w:rPr>
        <w:t>6.CA咨询热线：400-666-4230</w:t>
      </w:r>
    </w:p>
    <w:p w14:paraId="3AE21C0A">
      <w:pPr>
        <w:pStyle w:val="3"/>
      </w:pPr>
      <w:r>
        <w:br w:type="page"/>
      </w:r>
      <w:bookmarkStart w:id="10" w:name="_Toc20860"/>
      <w:bookmarkStart w:id="11" w:name="_Toc3249"/>
      <w:r>
        <w:t>第二章  招标需求</w:t>
      </w:r>
      <w:bookmarkEnd w:id="10"/>
      <w:bookmarkEnd w:id="11"/>
    </w:p>
    <w:p w14:paraId="2DB705C1">
      <w:pPr>
        <w:pStyle w:val="4"/>
        <w:numPr>
          <w:ilvl w:val="0"/>
          <w:numId w:val="4"/>
        </w:numPr>
        <w:tabs>
          <w:tab w:val="left" w:pos="360"/>
        </w:tabs>
        <w:spacing w:before="120"/>
        <w:ind w:left="360" w:hanging="360"/>
        <w:rPr>
          <w:rFonts w:ascii="宋体" w:hAnsi="宋体" w:cs="宋体"/>
          <w:color w:val="auto"/>
          <w:sz w:val="21"/>
        </w:rPr>
      </w:pPr>
      <w:bookmarkStart w:id="12" w:name="_Toc21325"/>
      <w:r>
        <w:rPr>
          <w:rFonts w:hint="eastAsia" w:ascii="宋体" w:hAnsi="宋体" w:cs="宋体"/>
          <w:color w:val="auto"/>
          <w:sz w:val="21"/>
        </w:rPr>
        <w:t>商务要求</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001"/>
      </w:tblGrid>
      <w:tr w14:paraId="734D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527" w:type="dxa"/>
            <w:vAlign w:val="center"/>
          </w:tcPr>
          <w:p w14:paraId="28E8D6C8">
            <w:pPr>
              <w:ind w:firstLine="0" w:firstLineChars="0"/>
              <w:jc w:val="center"/>
              <w:rPr>
                <w:rFonts w:ascii="宋体" w:hAnsi="宋体" w:cs="宋体"/>
                <w:szCs w:val="21"/>
              </w:rPr>
            </w:pPr>
            <w:r>
              <w:rPr>
                <w:rFonts w:hint="eastAsia" w:ascii="宋体" w:hAnsi="宋体" w:eastAsia="Times New Roman" w:cs="宋体"/>
                <w:szCs w:val="21"/>
              </w:rPr>
              <w:t>★交货期</w:t>
            </w:r>
          </w:p>
        </w:tc>
        <w:tc>
          <w:tcPr>
            <w:tcW w:w="7001" w:type="dxa"/>
            <w:vAlign w:val="center"/>
          </w:tcPr>
          <w:p w14:paraId="7C49571A">
            <w:pPr>
              <w:ind w:firstLine="0" w:firstLineChars="0"/>
              <w:rPr>
                <w:rFonts w:ascii="宋体" w:hAnsi="宋体" w:cs="宋体"/>
                <w:szCs w:val="21"/>
              </w:rPr>
            </w:pPr>
            <w:r>
              <w:rPr>
                <w:rFonts w:hint="eastAsia" w:ascii="宋体" w:hAnsi="宋体" w:cs="宋体"/>
                <w:szCs w:val="21"/>
              </w:rPr>
              <w:t>在合同签订后90个日历天内完成合同范围内产品供货、安装、调试，并通过招标人验收合格。</w:t>
            </w:r>
          </w:p>
        </w:tc>
      </w:tr>
      <w:tr w14:paraId="30CD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527" w:type="dxa"/>
            <w:vAlign w:val="center"/>
          </w:tcPr>
          <w:p w14:paraId="2F3FEE1B">
            <w:pPr>
              <w:ind w:firstLine="0" w:firstLineChars="0"/>
              <w:jc w:val="center"/>
              <w:rPr>
                <w:rFonts w:ascii="宋体" w:hAnsi="宋体" w:cs="宋体"/>
                <w:szCs w:val="21"/>
              </w:rPr>
            </w:pPr>
            <w:r>
              <w:rPr>
                <w:rFonts w:hint="eastAsia" w:ascii="宋体" w:hAnsi="宋体" w:eastAsia="Times New Roman" w:cs="宋体"/>
                <w:szCs w:val="21"/>
              </w:rPr>
              <w:t>交货地点</w:t>
            </w:r>
          </w:p>
        </w:tc>
        <w:tc>
          <w:tcPr>
            <w:tcW w:w="7001" w:type="dxa"/>
            <w:vAlign w:val="center"/>
          </w:tcPr>
          <w:p w14:paraId="6A6BA0F5">
            <w:pPr>
              <w:ind w:firstLine="0" w:firstLineChars="0"/>
              <w:rPr>
                <w:rFonts w:ascii="宋体" w:hAnsi="宋体" w:cs="宋体"/>
                <w:szCs w:val="21"/>
              </w:rPr>
            </w:pPr>
            <w:r>
              <w:rPr>
                <w:rFonts w:hint="eastAsia" w:ascii="宋体" w:hAnsi="宋体" w:cs="宋体"/>
                <w:szCs w:val="21"/>
              </w:rPr>
              <w:t>温州金洋集装箱码头有限公司指定地点。</w:t>
            </w:r>
          </w:p>
        </w:tc>
      </w:tr>
      <w:tr w14:paraId="7AB6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27" w:type="dxa"/>
            <w:vAlign w:val="center"/>
          </w:tcPr>
          <w:p w14:paraId="46C94F5A">
            <w:pPr>
              <w:ind w:firstLine="0" w:firstLineChars="0"/>
              <w:jc w:val="center"/>
              <w:rPr>
                <w:rFonts w:ascii="宋体" w:hAnsi="宋体" w:cs="宋体"/>
                <w:szCs w:val="21"/>
              </w:rPr>
            </w:pPr>
            <w:r>
              <w:rPr>
                <w:rFonts w:hint="eastAsia" w:ascii="宋体" w:hAnsi="宋体" w:eastAsia="Times New Roman" w:cs="宋体"/>
                <w:szCs w:val="21"/>
              </w:rPr>
              <w:t>★质保期</w:t>
            </w:r>
          </w:p>
        </w:tc>
        <w:tc>
          <w:tcPr>
            <w:tcW w:w="7001" w:type="dxa"/>
            <w:vAlign w:val="center"/>
          </w:tcPr>
          <w:p w14:paraId="68768756">
            <w:pPr>
              <w:ind w:firstLine="0" w:firstLineChars="0"/>
              <w:rPr>
                <w:rFonts w:eastAsia="Times New Roman"/>
              </w:rPr>
            </w:pPr>
            <w:r>
              <w:rPr>
                <w:rFonts w:hint="eastAsia" w:ascii="宋体" w:hAnsi="宋体" w:eastAsia="Times New Roman" w:cs="宋体"/>
                <w:szCs w:val="21"/>
              </w:rPr>
              <w:t>项目验收合格之日起</w:t>
            </w:r>
            <w:r>
              <w:rPr>
                <w:rFonts w:hint="eastAsia" w:ascii="宋体" w:hAnsi="宋体" w:eastAsia="Times New Roman" w:cs="宋体"/>
                <w:szCs w:val="21"/>
                <w:u w:val="single"/>
              </w:rPr>
              <w:t>3</w:t>
            </w:r>
            <w:r>
              <w:rPr>
                <w:rFonts w:hint="eastAsia" w:ascii="宋体" w:hAnsi="宋体" w:eastAsia="Times New Roman" w:cs="宋体"/>
                <w:szCs w:val="21"/>
              </w:rPr>
              <w:t>年。</w:t>
            </w:r>
          </w:p>
        </w:tc>
      </w:tr>
      <w:tr w14:paraId="4A97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27" w:type="dxa"/>
            <w:vAlign w:val="center"/>
          </w:tcPr>
          <w:p w14:paraId="5D711139">
            <w:pPr>
              <w:ind w:firstLine="0" w:firstLineChars="0"/>
              <w:jc w:val="center"/>
              <w:rPr>
                <w:rFonts w:ascii="宋体" w:hAnsi="宋体" w:cs="宋体"/>
                <w:szCs w:val="21"/>
              </w:rPr>
            </w:pPr>
            <w:r>
              <w:rPr>
                <w:rFonts w:hint="eastAsia" w:ascii="宋体" w:hAnsi="宋体" w:eastAsia="Times New Roman" w:cs="宋体"/>
                <w:szCs w:val="21"/>
              </w:rPr>
              <w:t>★付款条件与方式</w:t>
            </w:r>
          </w:p>
        </w:tc>
        <w:tc>
          <w:tcPr>
            <w:tcW w:w="7001" w:type="dxa"/>
            <w:vAlign w:val="center"/>
          </w:tcPr>
          <w:p w14:paraId="58F1119B">
            <w:pPr>
              <w:spacing w:line="440" w:lineRule="exact"/>
              <w:ind w:firstLine="0" w:firstLineChars="0"/>
              <w:rPr>
                <w:rFonts w:ascii="宋体" w:hAnsi="宋体" w:cs="宋体"/>
                <w:szCs w:val="21"/>
              </w:rPr>
            </w:pPr>
            <w:r>
              <w:rPr>
                <w:rFonts w:hint="eastAsia" w:ascii="宋体" w:hAnsi="宋体" w:cs="宋体"/>
                <w:szCs w:val="21"/>
              </w:rPr>
              <w:t>合同生效后中标人开具合同金额30%的正式收据，招标人在收到收据且确认无误后30个日历天内先预付30%合同款；招标人收到货物验收合格，且中标人向招标人出具全额增值税专用发票核对无误后30个工作日内，招标人支付合同总额的70% 。</w:t>
            </w:r>
          </w:p>
        </w:tc>
      </w:tr>
      <w:tr w14:paraId="4AB8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27" w:type="dxa"/>
            <w:vAlign w:val="center"/>
          </w:tcPr>
          <w:p w14:paraId="4770DA85">
            <w:pPr>
              <w:spacing w:line="400" w:lineRule="exact"/>
              <w:ind w:firstLine="0" w:firstLineChars="0"/>
              <w:rPr>
                <w:rFonts w:ascii="宋体" w:hAnsi="宋体" w:cs="宋体"/>
                <w:szCs w:val="21"/>
              </w:rPr>
            </w:pPr>
            <w:r>
              <w:rPr>
                <w:rFonts w:hint="eastAsia" w:ascii="宋体" w:hAnsi="宋体" w:cs="宋体"/>
                <w:szCs w:val="21"/>
              </w:rPr>
              <w:t>合同签订</w:t>
            </w:r>
          </w:p>
        </w:tc>
        <w:tc>
          <w:tcPr>
            <w:tcW w:w="7001" w:type="dxa"/>
            <w:vAlign w:val="center"/>
          </w:tcPr>
          <w:p w14:paraId="288ADEC6">
            <w:pPr>
              <w:spacing w:line="400" w:lineRule="exact"/>
              <w:ind w:firstLine="0" w:firstLineChars="0"/>
              <w:rPr>
                <w:rFonts w:ascii="宋体" w:hAnsi="宋体" w:cs="宋体"/>
                <w:szCs w:val="21"/>
              </w:rPr>
            </w:pPr>
            <w:r>
              <w:rPr>
                <w:rFonts w:hint="eastAsia" w:ascii="宋体" w:hAnsi="宋体" w:cs="宋体"/>
                <w:szCs w:val="21"/>
              </w:rPr>
              <w:t>本项目最终合同由招标人与中标人直接签订。</w:t>
            </w:r>
          </w:p>
        </w:tc>
      </w:tr>
    </w:tbl>
    <w:p w14:paraId="35E882EF">
      <w:pPr>
        <w:ind w:firstLine="0" w:firstLineChars="0"/>
        <w:rPr>
          <w:rFonts w:ascii="宋体" w:hAnsi="宋体" w:cs="宋体"/>
          <w:b/>
          <w:bCs/>
          <w:szCs w:val="21"/>
        </w:rPr>
      </w:pPr>
    </w:p>
    <w:p w14:paraId="4AEA9161">
      <w:pPr>
        <w:numPr>
          <w:ilvl w:val="0"/>
          <w:numId w:val="4"/>
        </w:numPr>
        <w:ind w:left="360" w:hanging="360" w:firstLineChars="0"/>
        <w:rPr>
          <w:rFonts w:ascii="宋体" w:hAnsi="宋体" w:cs="宋体"/>
          <w:b/>
          <w:bCs/>
          <w:szCs w:val="21"/>
        </w:rPr>
      </w:pPr>
      <w:r>
        <w:rPr>
          <w:rFonts w:hint="eastAsia" w:ascii="宋体" w:hAnsi="宋体" w:cs="宋体"/>
          <w:b/>
          <w:bCs/>
          <w:szCs w:val="21"/>
        </w:rPr>
        <w:t>技术规格书</w:t>
      </w:r>
    </w:p>
    <w:p w14:paraId="2936E1E9">
      <w:pPr>
        <w:autoSpaceDE w:val="0"/>
        <w:autoSpaceDN w:val="0"/>
        <w:adjustRightInd w:val="0"/>
        <w:ind w:firstLine="555" w:firstLineChars="0"/>
        <w:jc w:val="left"/>
        <w:rPr>
          <w:rFonts w:ascii="宋体" w:hAnsi="宋体" w:cs="宋体"/>
          <w:b/>
          <w:bCs/>
          <w:color w:val="000000"/>
          <w:kern w:val="0"/>
          <w:szCs w:val="21"/>
        </w:rPr>
      </w:pPr>
      <w:bookmarkStart w:id="13" w:name="heading_0"/>
      <w:bookmarkStart w:id="14" w:name="OLE_LINK1"/>
      <w:r>
        <w:rPr>
          <w:rFonts w:hint="eastAsia" w:ascii="宋体" w:hAnsi="宋体" w:cs="宋体"/>
          <w:b/>
          <w:bCs/>
          <w:color w:val="000000"/>
          <w:kern w:val="0"/>
          <w:szCs w:val="21"/>
        </w:rPr>
        <w:t>1、项目概述</w:t>
      </w:r>
      <w:bookmarkEnd w:id="13"/>
    </w:p>
    <w:bookmarkEnd w:id="14"/>
    <w:p w14:paraId="6BF034D6">
      <w:pPr>
        <w:spacing w:before="120" w:after="120"/>
        <w:ind w:firstLine="500" w:firstLineChars="0"/>
        <w:jc w:val="left"/>
        <w:rPr>
          <w:rFonts w:ascii="宋体" w:hAnsi="宋体" w:cs="宋体"/>
          <w:kern w:val="0"/>
          <w:szCs w:val="21"/>
        </w:rPr>
      </w:pPr>
      <w:bookmarkStart w:id="15" w:name="OLE_LINK2"/>
      <w:r>
        <w:rPr>
          <w:rFonts w:hint="eastAsia" w:ascii="宋体" w:hAnsi="宋体" w:cs="宋体"/>
          <w:kern w:val="0"/>
          <w:szCs w:val="21"/>
        </w:rPr>
        <w:t>温州金洋集装箱码头有限公司作为区域重要的物流枢纽，其信息化系统承载着公司办公和生产操作中的集装箱调度、货物跟踪、仓储管理、数据统计等核心业务，是保障码头高效运转的关键基础设施。当前，我司现有</w:t>
      </w:r>
      <w:bookmarkStart w:id="16" w:name="OLE_LINK3"/>
      <w:r>
        <w:rPr>
          <w:rFonts w:hint="eastAsia" w:ascii="宋体" w:hAnsi="宋体" w:cs="宋体"/>
          <w:kern w:val="0"/>
          <w:szCs w:val="21"/>
        </w:rPr>
        <w:t>深信服超融合平台</w:t>
      </w:r>
      <w:bookmarkEnd w:id="16"/>
      <w:r>
        <w:rPr>
          <w:rFonts w:hint="eastAsia" w:ascii="宋体" w:hAnsi="宋体" w:cs="宋体"/>
          <w:kern w:val="0"/>
          <w:szCs w:val="21"/>
        </w:rPr>
        <w:t>部署于主机房与备机房，为进一步提升业务系统的稳定性、可用性及容灾保障的能力，计划将现主机房服务器进行扩容，新增一台超融合节点补强集群性能，并对整个超融合系统及软件平台进行升级，构建“生产-容灾”协同的高可靠超融合架构。</w:t>
      </w:r>
    </w:p>
    <w:bookmarkEnd w:id="15"/>
    <w:p w14:paraId="22F74230">
      <w:pPr>
        <w:autoSpaceDE w:val="0"/>
        <w:autoSpaceDN w:val="0"/>
        <w:adjustRightInd w:val="0"/>
        <w:ind w:firstLine="555" w:firstLineChars="0"/>
        <w:jc w:val="left"/>
        <w:rPr>
          <w:rFonts w:ascii="宋体" w:hAnsi="宋体" w:cs="宋体"/>
          <w:b/>
          <w:bCs/>
          <w:color w:val="000000"/>
          <w:kern w:val="0"/>
          <w:szCs w:val="21"/>
        </w:rPr>
      </w:pPr>
      <w:r>
        <w:t>★</w:t>
      </w:r>
      <w:r>
        <w:rPr>
          <w:rFonts w:hint="eastAsia" w:ascii="宋体" w:hAnsi="宋体" w:cs="宋体"/>
          <w:b/>
          <w:bCs/>
          <w:color w:val="000000"/>
          <w:kern w:val="0"/>
          <w:szCs w:val="21"/>
        </w:rPr>
        <w:t>2、核心需求</w:t>
      </w:r>
    </w:p>
    <w:p w14:paraId="53D98C76">
      <w:pPr>
        <w:spacing w:before="120" w:after="120"/>
        <w:ind w:firstLine="500" w:firstLineChars="0"/>
        <w:jc w:val="left"/>
        <w:rPr>
          <w:rFonts w:ascii="宋体" w:hAnsi="宋体" w:cs="宋体"/>
          <w:kern w:val="0"/>
          <w:szCs w:val="21"/>
        </w:rPr>
      </w:pPr>
      <w:r>
        <w:rPr>
          <w:rFonts w:hint="eastAsia" w:ascii="宋体" w:hAnsi="宋体" w:cs="宋体"/>
          <w:kern w:val="0"/>
          <w:szCs w:val="21"/>
        </w:rPr>
        <w:t>架构升级：将现有主机房3台服务器的其中2台（E5-2630 CPU的服务器）和1台（4210R CPU的服务器 ）组建生产集群，每台更换2*480G SSD，同时对超融合系统进行不停机平滑升级。</w:t>
      </w:r>
    </w:p>
    <w:p w14:paraId="294CF4C5">
      <w:pPr>
        <w:spacing w:before="120" w:after="120"/>
        <w:ind w:firstLine="500" w:firstLineChars="0"/>
        <w:jc w:val="left"/>
        <w:rPr>
          <w:rFonts w:ascii="宋体" w:hAnsi="宋体" w:cs="宋体"/>
          <w:kern w:val="0"/>
          <w:szCs w:val="21"/>
        </w:rPr>
      </w:pPr>
      <w:r>
        <w:rPr>
          <w:rFonts w:hint="eastAsia" w:ascii="宋体" w:hAnsi="宋体" w:cs="宋体"/>
          <w:kern w:val="0"/>
          <w:szCs w:val="21"/>
        </w:rPr>
        <w:t>节点扩容：新增1台超融合节点，要求新增加节点兼容现有超融合软硬环境，提升生产集群的计算、存储资源冗余能力。</w:t>
      </w:r>
    </w:p>
    <w:p w14:paraId="0F9CAB1D">
      <w:pPr>
        <w:spacing w:before="120" w:after="120"/>
        <w:ind w:firstLine="500" w:firstLineChars="0"/>
        <w:jc w:val="left"/>
        <w:rPr>
          <w:rFonts w:ascii="宋体" w:hAnsi="宋体" w:cs="宋体"/>
          <w:kern w:val="0"/>
          <w:szCs w:val="21"/>
        </w:rPr>
      </w:pPr>
      <w:r>
        <w:rPr>
          <w:rFonts w:hint="eastAsia" w:ascii="宋体" w:hAnsi="宋体" w:cs="宋体"/>
          <w:kern w:val="0"/>
          <w:szCs w:val="21"/>
        </w:rPr>
        <w:t>平稳过渡：全程保障业务中断时间可控，确保调整及扩容过程中核心业务数据不丢失、系统可快速恢复。</w:t>
      </w:r>
    </w:p>
    <w:p w14:paraId="52716634">
      <w:pPr>
        <w:spacing w:before="120" w:after="120"/>
        <w:ind w:firstLine="500" w:firstLineChars="0"/>
        <w:jc w:val="left"/>
        <w:rPr>
          <w:rFonts w:ascii="宋体" w:hAnsi="宋体" w:cs="宋体"/>
          <w:kern w:val="0"/>
          <w:szCs w:val="21"/>
        </w:rPr>
      </w:pPr>
      <w:r>
        <w:rPr>
          <w:rFonts w:hint="eastAsia" w:ascii="宋体" w:hAnsi="宋体" w:cs="宋体"/>
          <w:kern w:val="0"/>
          <w:szCs w:val="21"/>
        </w:rPr>
        <w:t>软件升级：对超融合集群软件版本提供升级服务，确保软件稳定运行。</w:t>
      </w:r>
    </w:p>
    <w:p w14:paraId="2D728117">
      <w:pPr>
        <w:numPr>
          <w:ilvl w:val="0"/>
          <w:numId w:val="5"/>
        </w:numPr>
        <w:autoSpaceDE w:val="0"/>
        <w:autoSpaceDN w:val="0"/>
        <w:adjustRightInd w:val="0"/>
        <w:ind w:firstLine="555" w:firstLineChars="0"/>
        <w:jc w:val="left"/>
        <w:rPr>
          <w:rFonts w:ascii="宋体" w:hAnsi="宋体" w:cs="宋体"/>
          <w:b/>
          <w:bCs/>
          <w:color w:val="000000"/>
          <w:kern w:val="0"/>
          <w:szCs w:val="21"/>
        </w:rPr>
      </w:pPr>
      <w:r>
        <w:rPr>
          <w:rFonts w:hint="eastAsia" w:ascii="宋体" w:hAnsi="宋体" w:cs="宋体"/>
          <w:b/>
          <w:bCs/>
          <w:color w:val="000000"/>
          <w:kern w:val="0"/>
          <w:szCs w:val="21"/>
        </w:rPr>
        <w:t>项目清单</w:t>
      </w:r>
    </w:p>
    <w:p w14:paraId="5DB11C0D">
      <w:pPr>
        <w:pStyle w:val="43"/>
        <w:ind w:left="0" w:leftChars="0" w:firstLine="0" w:firstLineChars="0"/>
      </w:pPr>
      <w:r>
        <w:rPr>
          <w:rFonts w:hint="eastAsia" w:ascii="宋体" w:hAnsi="宋体" w:cs="宋体"/>
          <w:b/>
          <w:bCs/>
          <w:color w:val="000000"/>
          <w:kern w:val="0"/>
          <w:szCs w:val="21"/>
        </w:rPr>
        <w:t xml:space="preserve">   </w:t>
      </w:r>
    </w:p>
    <w:tbl>
      <w:tblPr>
        <w:tblStyle w:val="44"/>
        <w:tblW w:w="4984" w:type="pct"/>
        <w:tblInd w:w="90" w:type="dxa"/>
        <w:tblLayout w:type="fixed"/>
        <w:tblCellMar>
          <w:top w:w="0" w:type="dxa"/>
          <w:left w:w="108" w:type="dxa"/>
          <w:bottom w:w="0" w:type="dxa"/>
          <w:right w:w="108" w:type="dxa"/>
        </w:tblCellMar>
      </w:tblPr>
      <w:tblGrid>
        <w:gridCol w:w="744"/>
        <w:gridCol w:w="1477"/>
        <w:gridCol w:w="2742"/>
        <w:gridCol w:w="810"/>
        <w:gridCol w:w="794"/>
        <w:gridCol w:w="2011"/>
      </w:tblGrid>
      <w:tr w14:paraId="253BBA24">
        <w:tblPrEx>
          <w:tblCellMar>
            <w:top w:w="0" w:type="dxa"/>
            <w:left w:w="108" w:type="dxa"/>
            <w:bottom w:w="0" w:type="dxa"/>
            <w:right w:w="108" w:type="dxa"/>
          </w:tblCellMar>
        </w:tblPrEx>
        <w:trPr>
          <w:trHeight w:val="523" w:hRule="atLeast"/>
        </w:trPr>
        <w:tc>
          <w:tcPr>
            <w:tcW w:w="434" w:type="pct"/>
            <w:tcBorders>
              <w:top w:val="single" w:color="auto" w:sz="4" w:space="0"/>
              <w:left w:val="nil"/>
              <w:bottom w:val="single" w:color="auto" w:sz="4" w:space="0"/>
              <w:right w:val="single" w:color="auto" w:sz="4" w:space="0"/>
            </w:tcBorders>
            <w:vAlign w:val="center"/>
          </w:tcPr>
          <w:p w14:paraId="2606A8E9">
            <w:pPr>
              <w:widowControl/>
              <w:ind w:firstLine="0" w:firstLineChars="0"/>
              <w:rPr>
                <w:rFonts w:ascii="宋体" w:hAnsi="宋体" w:cs="宋体"/>
                <w:b/>
                <w:bCs/>
                <w:color w:val="000000"/>
                <w:kern w:val="0"/>
                <w:sz w:val="22"/>
                <w:szCs w:val="22"/>
              </w:rPr>
            </w:pPr>
            <w:r>
              <w:rPr>
                <w:rFonts w:hint="eastAsia" w:ascii="宋体" w:hAnsi="宋体" w:eastAsia="Times New Roman" w:cs="宋体"/>
                <w:b/>
                <w:bCs/>
                <w:color w:val="000000"/>
                <w:kern w:val="0"/>
                <w:sz w:val="22"/>
                <w:szCs w:val="22"/>
              </w:rPr>
              <w:t>序号</w:t>
            </w:r>
          </w:p>
        </w:tc>
        <w:tc>
          <w:tcPr>
            <w:tcW w:w="860" w:type="pct"/>
            <w:tcBorders>
              <w:top w:val="single" w:color="auto" w:sz="4" w:space="0"/>
              <w:left w:val="nil"/>
              <w:bottom w:val="single" w:color="auto" w:sz="4" w:space="0"/>
              <w:right w:val="single" w:color="auto" w:sz="4" w:space="0"/>
            </w:tcBorders>
            <w:vAlign w:val="center"/>
          </w:tcPr>
          <w:p w14:paraId="7E791EB4">
            <w:pPr>
              <w:widowControl/>
              <w:ind w:firstLine="0" w:firstLineChars="0"/>
              <w:rPr>
                <w:rFonts w:ascii="宋体" w:hAnsi="宋体" w:cs="宋体"/>
                <w:b/>
                <w:bCs/>
                <w:color w:val="000000"/>
                <w:kern w:val="0"/>
                <w:sz w:val="22"/>
                <w:szCs w:val="22"/>
              </w:rPr>
            </w:pPr>
            <w:r>
              <w:rPr>
                <w:rFonts w:hint="eastAsia" w:ascii="宋体" w:hAnsi="宋体" w:eastAsia="Times New Roman" w:cs="宋体"/>
                <w:b/>
                <w:bCs/>
                <w:color w:val="000000"/>
                <w:kern w:val="0"/>
                <w:sz w:val="22"/>
                <w:szCs w:val="22"/>
              </w:rPr>
              <w:t>项目名称</w:t>
            </w:r>
          </w:p>
        </w:tc>
        <w:tc>
          <w:tcPr>
            <w:tcW w:w="1597" w:type="pct"/>
            <w:tcBorders>
              <w:top w:val="single" w:color="auto" w:sz="4" w:space="0"/>
              <w:left w:val="nil"/>
              <w:bottom w:val="single" w:color="auto" w:sz="4" w:space="0"/>
              <w:right w:val="single" w:color="auto" w:sz="4" w:space="0"/>
            </w:tcBorders>
            <w:vAlign w:val="center"/>
          </w:tcPr>
          <w:p w14:paraId="073A33B6">
            <w:pPr>
              <w:widowControl/>
              <w:ind w:firstLine="440"/>
              <w:jc w:val="center"/>
              <w:rPr>
                <w:rFonts w:ascii="宋体" w:hAnsi="宋体" w:eastAsia="Times New Roman" w:cs="宋体"/>
                <w:b/>
                <w:bCs/>
                <w:color w:val="000000"/>
                <w:kern w:val="0"/>
                <w:sz w:val="22"/>
                <w:szCs w:val="22"/>
              </w:rPr>
            </w:pPr>
            <w:r>
              <w:rPr>
                <w:rFonts w:hint="eastAsia" w:ascii="新宋体" w:hAnsi="新宋体" w:eastAsia="新宋体" w:cs="新宋体"/>
                <w:color w:val="000000"/>
                <w:kern w:val="0"/>
                <w:sz w:val="22"/>
                <w:szCs w:val="22"/>
                <w:lang w:bidi="ar"/>
              </w:rPr>
              <w:t>规格参数</w:t>
            </w:r>
            <w:r>
              <w:rPr>
                <w:rFonts w:hint="eastAsia" w:ascii="宋体" w:hAnsi="宋体" w:eastAsia="Times New Roman" w:cs="宋体"/>
                <w:color w:val="000000"/>
                <w:kern w:val="0"/>
                <w:sz w:val="22"/>
                <w:szCs w:val="22"/>
              </w:rPr>
              <w:t> </w:t>
            </w:r>
          </w:p>
        </w:tc>
        <w:tc>
          <w:tcPr>
            <w:tcW w:w="472" w:type="pct"/>
            <w:tcBorders>
              <w:top w:val="single" w:color="auto" w:sz="4" w:space="0"/>
              <w:left w:val="nil"/>
              <w:bottom w:val="single" w:color="auto" w:sz="4" w:space="0"/>
              <w:right w:val="single" w:color="auto" w:sz="4" w:space="0"/>
            </w:tcBorders>
            <w:vAlign w:val="center"/>
          </w:tcPr>
          <w:p w14:paraId="1DFB0F47">
            <w:pPr>
              <w:widowControl/>
              <w:ind w:firstLine="0" w:firstLineChars="0"/>
              <w:rPr>
                <w:rFonts w:ascii="宋体" w:hAnsi="宋体" w:eastAsia="Times New Roman" w:cs="宋体"/>
                <w:b/>
                <w:bCs/>
                <w:color w:val="000000"/>
                <w:kern w:val="0"/>
                <w:sz w:val="22"/>
                <w:szCs w:val="22"/>
              </w:rPr>
            </w:pPr>
            <w:r>
              <w:rPr>
                <w:rFonts w:hint="eastAsia" w:ascii="宋体" w:hAnsi="宋体" w:eastAsia="Times New Roman" w:cs="宋体"/>
                <w:b/>
                <w:bCs/>
                <w:color w:val="000000"/>
                <w:kern w:val="0"/>
                <w:sz w:val="22"/>
                <w:szCs w:val="22"/>
              </w:rPr>
              <w:t>数量</w:t>
            </w:r>
          </w:p>
        </w:tc>
        <w:tc>
          <w:tcPr>
            <w:tcW w:w="463" w:type="pct"/>
            <w:tcBorders>
              <w:top w:val="single" w:color="auto" w:sz="4" w:space="0"/>
              <w:left w:val="nil"/>
              <w:bottom w:val="single" w:color="auto" w:sz="4" w:space="0"/>
              <w:right w:val="single" w:color="auto" w:sz="4" w:space="0"/>
            </w:tcBorders>
            <w:vAlign w:val="center"/>
          </w:tcPr>
          <w:p w14:paraId="35071821">
            <w:pPr>
              <w:widowControl/>
              <w:ind w:firstLine="0" w:firstLineChars="0"/>
              <w:rPr>
                <w:rFonts w:ascii="宋体" w:hAnsi="宋体" w:cs="宋体"/>
                <w:b/>
                <w:bCs/>
                <w:color w:val="000000"/>
                <w:kern w:val="0"/>
                <w:sz w:val="22"/>
                <w:szCs w:val="22"/>
              </w:rPr>
            </w:pPr>
            <w:r>
              <w:rPr>
                <w:rFonts w:hint="eastAsia" w:ascii="宋体" w:hAnsi="宋体" w:eastAsia="Times New Roman" w:cs="宋体"/>
                <w:b/>
                <w:bCs/>
                <w:color w:val="000000"/>
                <w:kern w:val="0"/>
                <w:sz w:val="22"/>
                <w:szCs w:val="22"/>
              </w:rPr>
              <w:t>单位</w:t>
            </w:r>
          </w:p>
        </w:tc>
        <w:tc>
          <w:tcPr>
            <w:tcW w:w="1171" w:type="pct"/>
            <w:tcBorders>
              <w:top w:val="single" w:color="auto" w:sz="4" w:space="0"/>
              <w:left w:val="nil"/>
              <w:bottom w:val="single" w:color="auto" w:sz="4" w:space="0"/>
              <w:right w:val="single" w:color="auto" w:sz="4" w:space="0"/>
            </w:tcBorders>
            <w:vAlign w:val="center"/>
          </w:tcPr>
          <w:p w14:paraId="64F55A39">
            <w:pPr>
              <w:widowControl/>
              <w:ind w:firstLine="0" w:firstLineChars="0"/>
              <w:rPr>
                <w:rFonts w:ascii="宋体" w:hAnsi="宋体" w:eastAsia="Times New Roman" w:cs="宋体"/>
                <w:b/>
                <w:bCs/>
                <w:color w:val="000000"/>
                <w:kern w:val="0"/>
                <w:sz w:val="22"/>
                <w:szCs w:val="22"/>
              </w:rPr>
            </w:pPr>
            <w:r>
              <w:rPr>
                <w:rFonts w:hint="eastAsia" w:ascii="宋体" w:hAnsi="宋体" w:eastAsia="Times New Roman" w:cs="宋体"/>
                <w:b/>
                <w:bCs/>
                <w:color w:val="000000"/>
                <w:kern w:val="0"/>
                <w:sz w:val="22"/>
                <w:szCs w:val="22"/>
              </w:rPr>
              <w:t>备注</w:t>
            </w:r>
          </w:p>
        </w:tc>
      </w:tr>
      <w:tr w14:paraId="3D9635CC">
        <w:tblPrEx>
          <w:tblCellMar>
            <w:top w:w="0" w:type="dxa"/>
            <w:left w:w="108" w:type="dxa"/>
            <w:bottom w:w="0" w:type="dxa"/>
            <w:right w:w="108" w:type="dxa"/>
          </w:tblCellMar>
        </w:tblPrEx>
        <w:trPr>
          <w:trHeight w:val="428" w:hRule="atLeast"/>
        </w:trPr>
        <w:tc>
          <w:tcPr>
            <w:tcW w:w="434" w:type="pct"/>
            <w:vMerge w:val="restart"/>
            <w:tcBorders>
              <w:top w:val="nil"/>
              <w:left w:val="single" w:color="auto" w:sz="4" w:space="0"/>
              <w:bottom w:val="single" w:color="auto" w:sz="4" w:space="0"/>
              <w:right w:val="single" w:color="auto" w:sz="4" w:space="0"/>
            </w:tcBorders>
            <w:vAlign w:val="center"/>
          </w:tcPr>
          <w:p w14:paraId="258BA923">
            <w:pPr>
              <w:widowControl/>
              <w:ind w:firstLine="440"/>
              <w:jc w:val="center"/>
              <w:rPr>
                <w:rFonts w:ascii="宋体" w:hAnsi="宋体" w:cs="宋体"/>
                <w:color w:val="000000"/>
                <w:kern w:val="0"/>
                <w:sz w:val="22"/>
                <w:szCs w:val="22"/>
              </w:rPr>
            </w:pPr>
            <w:r>
              <w:rPr>
                <w:rFonts w:hint="eastAsia" w:ascii="宋体" w:hAnsi="宋体" w:eastAsia="Times New Roman" w:cs="宋体"/>
                <w:color w:val="000000"/>
                <w:kern w:val="0"/>
                <w:sz w:val="22"/>
                <w:szCs w:val="22"/>
              </w:rPr>
              <w:t>1</w:t>
            </w:r>
          </w:p>
        </w:tc>
        <w:tc>
          <w:tcPr>
            <w:tcW w:w="860" w:type="pct"/>
            <w:vMerge w:val="restart"/>
            <w:tcBorders>
              <w:top w:val="nil"/>
              <w:left w:val="single" w:color="auto" w:sz="4" w:space="0"/>
              <w:bottom w:val="single" w:color="auto" w:sz="4" w:space="0"/>
              <w:right w:val="single" w:color="auto" w:sz="4" w:space="0"/>
            </w:tcBorders>
            <w:vAlign w:val="center"/>
          </w:tcPr>
          <w:p w14:paraId="16F15F8D">
            <w:pPr>
              <w:widowControl/>
              <w:ind w:firstLine="0" w:firstLineChars="0"/>
              <w:rPr>
                <w:rFonts w:ascii="宋体" w:hAnsi="宋体" w:cs="宋体"/>
                <w:color w:val="000000"/>
                <w:kern w:val="0"/>
                <w:sz w:val="22"/>
                <w:szCs w:val="22"/>
              </w:rPr>
            </w:pPr>
            <w:r>
              <w:rPr>
                <w:rFonts w:hint="eastAsia" w:ascii="宋体" w:hAnsi="宋体" w:cs="宋体"/>
                <w:kern w:val="0"/>
                <w:szCs w:val="21"/>
              </w:rPr>
              <w:t>超融合节点硬件</w:t>
            </w:r>
          </w:p>
        </w:tc>
        <w:tc>
          <w:tcPr>
            <w:tcW w:w="1597" w:type="pct"/>
            <w:vMerge w:val="restart"/>
            <w:tcBorders>
              <w:top w:val="nil"/>
              <w:left w:val="single" w:color="auto" w:sz="4" w:space="0"/>
              <w:bottom w:val="single" w:color="auto" w:sz="4" w:space="0"/>
              <w:right w:val="single" w:color="auto" w:sz="4" w:space="0"/>
            </w:tcBorders>
            <w:vAlign w:val="center"/>
          </w:tcPr>
          <w:p w14:paraId="341AED8A">
            <w:pPr>
              <w:ind w:firstLine="0" w:firstLineChars="0"/>
              <w:jc w:val="left"/>
              <w:rPr>
                <w:rFonts w:ascii="宋体" w:hAnsi="宋体" w:cs="宋体"/>
                <w:kern w:val="0"/>
                <w:szCs w:val="21"/>
              </w:rPr>
            </w:pPr>
            <w:r>
              <w:rPr>
                <w:rFonts w:hint="eastAsia" w:ascii="宋体" w:hAnsi="宋体" w:cs="宋体"/>
                <w:kern w:val="0"/>
                <w:szCs w:val="21"/>
              </w:rPr>
              <w:t>2*2.4GHz/10核/13.75MB/100W) CPU模块</w:t>
            </w:r>
          </w:p>
          <w:p w14:paraId="69677481">
            <w:pPr>
              <w:ind w:firstLine="0" w:firstLineChars="0"/>
              <w:jc w:val="left"/>
              <w:rPr>
                <w:rFonts w:ascii="宋体" w:hAnsi="宋体" w:cs="宋体"/>
                <w:kern w:val="0"/>
                <w:szCs w:val="21"/>
              </w:rPr>
            </w:pPr>
            <w:r>
              <w:rPr>
                <w:rFonts w:hint="eastAsia" w:ascii="宋体" w:hAnsi="宋体" w:cs="宋体"/>
                <w:kern w:val="0"/>
                <w:szCs w:val="21"/>
              </w:rPr>
              <w:t>8*32GB 2Rx4 DDR4-内存模块</w:t>
            </w:r>
          </w:p>
          <w:p w14:paraId="1A6B4BF9">
            <w:pPr>
              <w:ind w:firstLine="0" w:firstLineChars="0"/>
              <w:jc w:val="left"/>
              <w:rPr>
                <w:rFonts w:ascii="宋体" w:hAnsi="宋体" w:cs="宋体"/>
                <w:kern w:val="0"/>
                <w:szCs w:val="21"/>
              </w:rPr>
            </w:pPr>
            <w:r>
              <w:rPr>
                <w:rFonts w:hint="eastAsia" w:ascii="宋体" w:hAnsi="宋体" w:cs="宋体"/>
                <w:kern w:val="0"/>
                <w:szCs w:val="21"/>
              </w:rPr>
              <w:t>4*480GB 6G SATA 2.5in SSD硬盘模块</w:t>
            </w:r>
          </w:p>
          <w:p w14:paraId="42EB4FC3">
            <w:pPr>
              <w:ind w:firstLine="0" w:firstLineChars="0"/>
              <w:jc w:val="left"/>
              <w:rPr>
                <w:rFonts w:ascii="宋体" w:hAnsi="宋体" w:cs="宋体"/>
                <w:kern w:val="0"/>
                <w:szCs w:val="21"/>
              </w:rPr>
            </w:pPr>
            <w:r>
              <w:rPr>
                <w:rFonts w:hint="eastAsia" w:ascii="宋体" w:hAnsi="宋体" w:cs="宋体"/>
                <w:kern w:val="0"/>
                <w:szCs w:val="21"/>
              </w:rPr>
              <w:t>2*240GB 6G SATA 2.5in SSD硬盘模块</w:t>
            </w:r>
          </w:p>
          <w:p w14:paraId="4F3C0951">
            <w:pPr>
              <w:ind w:firstLine="0" w:firstLineChars="0"/>
              <w:jc w:val="left"/>
              <w:rPr>
                <w:rFonts w:ascii="宋体" w:hAnsi="宋体" w:cs="宋体"/>
                <w:kern w:val="0"/>
                <w:szCs w:val="21"/>
              </w:rPr>
            </w:pPr>
            <w:r>
              <w:rPr>
                <w:rFonts w:hint="eastAsia" w:ascii="宋体" w:hAnsi="宋体" w:cs="宋体"/>
                <w:kern w:val="0"/>
                <w:szCs w:val="21"/>
              </w:rPr>
              <w:t>4*4TB 6G SATA 7.2K 3.5in EV 512e HDD硬盘模块</w:t>
            </w:r>
          </w:p>
          <w:p w14:paraId="341609D0">
            <w:pPr>
              <w:ind w:firstLine="0" w:firstLineChars="0"/>
              <w:jc w:val="left"/>
              <w:rPr>
                <w:rFonts w:ascii="宋体" w:hAnsi="宋体" w:cs="宋体"/>
                <w:kern w:val="0"/>
                <w:szCs w:val="21"/>
              </w:rPr>
            </w:pPr>
            <w:r>
              <w:rPr>
                <w:rFonts w:hint="eastAsia" w:ascii="宋体" w:hAnsi="宋体" w:cs="宋体"/>
                <w:kern w:val="0"/>
                <w:szCs w:val="21"/>
              </w:rPr>
              <w:t>六口千兆+双口万兆含模块</w:t>
            </w:r>
          </w:p>
          <w:p w14:paraId="6EDF13D9">
            <w:pPr>
              <w:ind w:firstLine="0" w:firstLineChars="0"/>
              <w:jc w:val="left"/>
              <w:rPr>
                <w:rFonts w:ascii="宋体" w:hAnsi="宋体" w:cs="宋体"/>
                <w:kern w:val="0"/>
                <w:szCs w:val="21"/>
              </w:rPr>
            </w:pPr>
            <w:r>
              <w:rPr>
                <w:rFonts w:hint="eastAsia" w:ascii="宋体" w:hAnsi="宋体" w:cs="宋体"/>
                <w:kern w:val="0"/>
                <w:szCs w:val="21"/>
              </w:rPr>
              <w:t>12Gb 2端口SAS HBA卡(支持8个SAS口)</w:t>
            </w:r>
          </w:p>
          <w:p w14:paraId="4135FB8D">
            <w:pPr>
              <w:ind w:firstLine="0" w:firstLineChars="0"/>
              <w:jc w:val="left"/>
            </w:pPr>
            <w:r>
              <w:rPr>
                <w:rFonts w:hint="eastAsia" w:ascii="宋体" w:hAnsi="宋体" w:cs="宋体"/>
                <w:kern w:val="0"/>
                <w:szCs w:val="21"/>
              </w:rPr>
              <w:t>2*900W 交流&amp;240V高压直流电源模块</w:t>
            </w:r>
          </w:p>
        </w:tc>
        <w:tc>
          <w:tcPr>
            <w:tcW w:w="472" w:type="pct"/>
            <w:vMerge w:val="restart"/>
            <w:tcBorders>
              <w:top w:val="nil"/>
              <w:left w:val="single" w:color="auto" w:sz="4" w:space="0"/>
              <w:bottom w:val="single" w:color="auto" w:sz="4" w:space="0"/>
              <w:right w:val="single" w:color="auto" w:sz="4" w:space="0"/>
            </w:tcBorders>
            <w:vAlign w:val="center"/>
          </w:tcPr>
          <w:p w14:paraId="10A3E071">
            <w:pPr>
              <w:widowControl/>
              <w:ind w:firstLine="220" w:firstLineChars="100"/>
              <w:rPr>
                <w:rFonts w:ascii="宋体" w:hAnsi="宋体" w:eastAsia="Times New Roman" w:cs="宋体"/>
                <w:color w:val="000000"/>
                <w:kern w:val="0"/>
                <w:sz w:val="22"/>
                <w:szCs w:val="22"/>
              </w:rPr>
            </w:pPr>
            <w:r>
              <w:rPr>
                <w:rFonts w:hint="eastAsia" w:ascii="宋体" w:hAnsi="宋体" w:eastAsia="Times New Roman" w:cs="宋体"/>
                <w:color w:val="000000"/>
                <w:kern w:val="0"/>
                <w:sz w:val="22"/>
                <w:szCs w:val="22"/>
              </w:rPr>
              <w:t>1</w:t>
            </w:r>
          </w:p>
        </w:tc>
        <w:tc>
          <w:tcPr>
            <w:tcW w:w="463" w:type="pct"/>
            <w:vMerge w:val="restart"/>
            <w:tcBorders>
              <w:top w:val="nil"/>
              <w:left w:val="single" w:color="auto" w:sz="4" w:space="0"/>
              <w:right w:val="single" w:color="auto" w:sz="4" w:space="0"/>
            </w:tcBorders>
            <w:vAlign w:val="center"/>
          </w:tcPr>
          <w:p w14:paraId="75C7D98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eastAsia="Times New Roman" w:cs="宋体"/>
                <w:color w:val="000000"/>
                <w:kern w:val="0"/>
                <w:sz w:val="22"/>
                <w:szCs w:val="22"/>
              </w:rPr>
            </w:pPr>
            <w:r>
              <w:rPr>
                <w:rFonts w:hint="eastAsia" w:ascii="宋体" w:hAnsi="宋体" w:eastAsia="Times New Roman" w:cs="宋体"/>
                <w:color w:val="000000"/>
                <w:kern w:val="0"/>
                <w:sz w:val="22"/>
                <w:szCs w:val="22"/>
              </w:rPr>
              <w:t>台</w:t>
            </w:r>
          </w:p>
        </w:tc>
        <w:tc>
          <w:tcPr>
            <w:tcW w:w="1171" w:type="pct"/>
            <w:vMerge w:val="restart"/>
            <w:tcBorders>
              <w:top w:val="nil"/>
              <w:left w:val="single" w:color="auto" w:sz="4" w:space="0"/>
              <w:bottom w:val="single" w:color="auto" w:sz="4" w:space="0"/>
              <w:right w:val="single" w:color="auto" w:sz="4" w:space="0"/>
            </w:tcBorders>
            <w:vAlign w:val="center"/>
          </w:tcPr>
          <w:p w14:paraId="79EED52B">
            <w:pPr>
              <w:widowControl/>
              <w:ind w:firstLine="0" w:firstLineChars="0"/>
              <w:rPr>
                <w:rFonts w:ascii="宋体" w:hAnsi="宋体" w:eastAsia="Times New Roman" w:cs="宋体"/>
                <w:color w:val="000000"/>
                <w:kern w:val="0"/>
                <w:sz w:val="22"/>
                <w:szCs w:val="22"/>
              </w:rPr>
            </w:pPr>
            <w:r>
              <w:rPr>
                <w:rFonts w:hint="eastAsia"/>
              </w:rPr>
              <w:t>设备须支持无缝接入招标人现有的深信服超融合生产集群，纳入同一管理平台统一运维。要求底层架构一致，支持存储资源池化扩容，无需额外网关或转换设备，并确保与现有集群在HA、DRS等特性上的完全兼容</w:t>
            </w:r>
          </w:p>
        </w:tc>
      </w:tr>
      <w:tr w14:paraId="648F3F0F">
        <w:tblPrEx>
          <w:tblCellMar>
            <w:top w:w="0" w:type="dxa"/>
            <w:left w:w="108" w:type="dxa"/>
            <w:bottom w:w="0" w:type="dxa"/>
            <w:right w:w="108" w:type="dxa"/>
          </w:tblCellMar>
        </w:tblPrEx>
        <w:trPr>
          <w:trHeight w:val="4633" w:hRule="atLeast"/>
        </w:trPr>
        <w:tc>
          <w:tcPr>
            <w:tcW w:w="434" w:type="pct"/>
            <w:vMerge w:val="continue"/>
            <w:tcBorders>
              <w:top w:val="nil"/>
              <w:left w:val="single" w:color="auto" w:sz="4" w:space="0"/>
              <w:bottom w:val="single" w:color="auto" w:sz="4" w:space="0"/>
              <w:right w:val="single" w:color="auto" w:sz="4" w:space="0"/>
            </w:tcBorders>
            <w:vAlign w:val="center"/>
          </w:tcPr>
          <w:p w14:paraId="2AD987D5">
            <w:pPr>
              <w:widowControl/>
              <w:ind w:firstLine="440"/>
              <w:jc w:val="center"/>
              <w:rPr>
                <w:rFonts w:ascii="宋体" w:hAnsi="宋体" w:eastAsia="Times New Roman" w:cs="宋体"/>
                <w:color w:val="000000"/>
                <w:kern w:val="0"/>
                <w:sz w:val="22"/>
                <w:szCs w:val="22"/>
              </w:rPr>
            </w:pPr>
          </w:p>
        </w:tc>
        <w:tc>
          <w:tcPr>
            <w:tcW w:w="860" w:type="pct"/>
            <w:vMerge w:val="continue"/>
            <w:tcBorders>
              <w:top w:val="nil"/>
              <w:left w:val="single" w:color="auto" w:sz="4" w:space="0"/>
              <w:bottom w:val="single" w:color="auto" w:sz="4" w:space="0"/>
              <w:right w:val="single" w:color="auto" w:sz="4" w:space="0"/>
            </w:tcBorders>
            <w:vAlign w:val="center"/>
          </w:tcPr>
          <w:p w14:paraId="3B0646A5">
            <w:pPr>
              <w:widowControl/>
              <w:ind w:firstLine="440"/>
              <w:jc w:val="left"/>
              <w:rPr>
                <w:rFonts w:ascii="宋体" w:hAnsi="宋体" w:eastAsia="Times New Roman" w:cs="宋体"/>
                <w:color w:val="000000"/>
                <w:kern w:val="0"/>
                <w:sz w:val="22"/>
                <w:szCs w:val="22"/>
              </w:rPr>
            </w:pPr>
          </w:p>
        </w:tc>
        <w:tc>
          <w:tcPr>
            <w:tcW w:w="1597" w:type="pct"/>
            <w:vMerge w:val="continue"/>
            <w:tcBorders>
              <w:top w:val="nil"/>
              <w:left w:val="single" w:color="auto" w:sz="4" w:space="0"/>
              <w:bottom w:val="single" w:color="auto" w:sz="4" w:space="0"/>
              <w:right w:val="single" w:color="auto" w:sz="4" w:space="0"/>
            </w:tcBorders>
            <w:vAlign w:val="center"/>
          </w:tcPr>
          <w:p w14:paraId="074A5343">
            <w:pPr>
              <w:widowControl/>
              <w:ind w:firstLine="440"/>
              <w:jc w:val="left"/>
              <w:rPr>
                <w:rFonts w:ascii="宋体" w:hAnsi="宋体" w:eastAsia="Times New Roman" w:cs="宋体"/>
                <w:color w:val="000000"/>
                <w:kern w:val="0"/>
                <w:sz w:val="22"/>
                <w:szCs w:val="22"/>
              </w:rPr>
            </w:pPr>
          </w:p>
        </w:tc>
        <w:tc>
          <w:tcPr>
            <w:tcW w:w="472" w:type="pct"/>
            <w:vMerge w:val="continue"/>
            <w:tcBorders>
              <w:top w:val="nil"/>
              <w:left w:val="single" w:color="auto" w:sz="4" w:space="0"/>
              <w:bottom w:val="single" w:color="auto" w:sz="4" w:space="0"/>
              <w:right w:val="single" w:color="auto" w:sz="4" w:space="0"/>
            </w:tcBorders>
            <w:vAlign w:val="center"/>
          </w:tcPr>
          <w:p w14:paraId="6F1768A6">
            <w:pPr>
              <w:widowControl/>
              <w:ind w:firstLine="440"/>
              <w:jc w:val="left"/>
              <w:rPr>
                <w:rFonts w:ascii="宋体" w:hAnsi="宋体" w:eastAsia="Times New Roman" w:cs="宋体"/>
                <w:color w:val="000000"/>
                <w:kern w:val="0"/>
                <w:sz w:val="22"/>
                <w:szCs w:val="22"/>
              </w:rPr>
            </w:pPr>
          </w:p>
        </w:tc>
        <w:tc>
          <w:tcPr>
            <w:tcW w:w="463" w:type="pct"/>
            <w:vMerge w:val="continue"/>
            <w:tcBorders>
              <w:left w:val="single" w:color="auto" w:sz="4" w:space="0"/>
              <w:bottom w:val="single" w:color="000000" w:sz="4" w:space="0"/>
              <w:right w:val="single" w:color="auto" w:sz="4" w:space="0"/>
            </w:tcBorders>
            <w:vAlign w:val="center"/>
          </w:tcPr>
          <w:p w14:paraId="1EAC1CC6">
            <w:pPr>
              <w:widowControl/>
              <w:ind w:firstLine="0" w:firstLineChars="0"/>
              <w:jc w:val="center"/>
              <w:rPr>
                <w:rFonts w:ascii="宋体" w:hAnsi="宋体" w:eastAsia="Times New Roman" w:cs="宋体"/>
                <w:color w:val="000000"/>
                <w:kern w:val="0"/>
                <w:sz w:val="22"/>
                <w:szCs w:val="22"/>
              </w:rPr>
              <w:pPrChange w:id="0" w:author="陈相辉" w:date="2026-05-12T15:10:00Z">
                <w:pPr>
                  <w:widowControl/>
                  <w:jc w:val="left"/>
                </w:pPr>
              </w:pPrChange>
            </w:pPr>
          </w:p>
        </w:tc>
        <w:tc>
          <w:tcPr>
            <w:tcW w:w="1171" w:type="pct"/>
            <w:vMerge w:val="continue"/>
            <w:tcBorders>
              <w:top w:val="nil"/>
              <w:left w:val="single" w:color="auto" w:sz="4" w:space="0"/>
              <w:bottom w:val="single" w:color="000000" w:sz="4" w:space="0"/>
              <w:right w:val="single" w:color="auto" w:sz="4" w:space="0"/>
            </w:tcBorders>
            <w:vAlign w:val="center"/>
          </w:tcPr>
          <w:p w14:paraId="2239E23B">
            <w:pPr>
              <w:widowControl/>
              <w:ind w:firstLine="440"/>
              <w:jc w:val="left"/>
              <w:rPr>
                <w:rFonts w:ascii="宋体" w:hAnsi="宋体" w:eastAsia="Times New Roman" w:cs="宋体"/>
                <w:color w:val="000000"/>
                <w:kern w:val="0"/>
                <w:sz w:val="22"/>
                <w:szCs w:val="22"/>
              </w:rPr>
            </w:pPr>
          </w:p>
        </w:tc>
      </w:tr>
      <w:tr w14:paraId="0A54EEE1">
        <w:tblPrEx>
          <w:tblCellMar>
            <w:top w:w="0" w:type="dxa"/>
            <w:left w:w="108" w:type="dxa"/>
            <w:bottom w:w="0" w:type="dxa"/>
            <w:right w:w="108" w:type="dxa"/>
          </w:tblCellMar>
        </w:tblPrEx>
        <w:trPr>
          <w:trHeight w:val="690" w:hRule="atLeast"/>
        </w:trPr>
        <w:tc>
          <w:tcPr>
            <w:tcW w:w="434" w:type="pct"/>
            <w:tcBorders>
              <w:top w:val="nil"/>
              <w:left w:val="single" w:color="auto" w:sz="4" w:space="0"/>
              <w:bottom w:val="single" w:color="000000" w:sz="4" w:space="0"/>
              <w:right w:val="single" w:color="auto" w:sz="4" w:space="0"/>
            </w:tcBorders>
            <w:vAlign w:val="center"/>
          </w:tcPr>
          <w:p w14:paraId="6AADA2DB">
            <w:pPr>
              <w:widowControl/>
              <w:ind w:firstLine="440"/>
              <w:jc w:val="center"/>
              <w:rPr>
                <w:rFonts w:ascii="宋体" w:hAnsi="宋体" w:cs="宋体"/>
                <w:color w:val="000000"/>
                <w:kern w:val="0"/>
                <w:sz w:val="22"/>
                <w:szCs w:val="22"/>
              </w:rPr>
            </w:pPr>
            <w:r>
              <w:rPr>
                <w:rFonts w:hint="eastAsia" w:ascii="宋体" w:hAnsi="宋体" w:eastAsia="Times New Roman" w:cs="宋体"/>
                <w:color w:val="000000"/>
                <w:kern w:val="0"/>
                <w:sz w:val="22"/>
                <w:szCs w:val="22"/>
              </w:rPr>
              <w:t>2</w:t>
            </w:r>
          </w:p>
        </w:tc>
        <w:tc>
          <w:tcPr>
            <w:tcW w:w="860" w:type="pct"/>
            <w:tcBorders>
              <w:top w:val="nil"/>
              <w:left w:val="nil"/>
              <w:bottom w:val="single" w:color="000000" w:sz="4" w:space="0"/>
              <w:right w:val="single" w:color="auto" w:sz="4" w:space="0"/>
            </w:tcBorders>
            <w:vAlign w:val="center"/>
          </w:tcPr>
          <w:p w14:paraId="3E13EF99">
            <w:pPr>
              <w:widowControl/>
              <w:ind w:firstLine="0" w:firstLineChars="0"/>
              <w:rPr>
                <w:rFonts w:ascii="宋体" w:hAnsi="宋体" w:eastAsia="Times New Roman" w:cs="宋体"/>
                <w:color w:val="000000"/>
                <w:kern w:val="0"/>
                <w:sz w:val="22"/>
                <w:szCs w:val="22"/>
              </w:rPr>
            </w:pPr>
            <w:r>
              <w:rPr>
                <w:rFonts w:hint="eastAsia" w:ascii="宋体" w:hAnsi="宋体" w:cs="宋体"/>
                <w:kern w:val="0"/>
                <w:szCs w:val="21"/>
              </w:rPr>
              <w:t>超融合企业级系统盘硬盘</w:t>
            </w:r>
          </w:p>
        </w:tc>
        <w:tc>
          <w:tcPr>
            <w:tcW w:w="1597" w:type="pct"/>
            <w:tcBorders>
              <w:top w:val="nil"/>
              <w:left w:val="nil"/>
              <w:bottom w:val="single" w:color="auto" w:sz="4" w:space="0"/>
              <w:right w:val="single" w:color="auto" w:sz="4" w:space="0"/>
            </w:tcBorders>
            <w:vAlign w:val="center"/>
          </w:tcPr>
          <w:p w14:paraId="3155092C">
            <w:pPr>
              <w:widowControl/>
              <w:ind w:firstLine="0" w:firstLineChars="0"/>
              <w:jc w:val="left"/>
              <w:rPr>
                <w:rFonts w:ascii="宋体" w:hAnsi="宋体" w:eastAsia="Times New Roman" w:cs="宋体"/>
                <w:color w:val="000000"/>
                <w:kern w:val="0"/>
                <w:sz w:val="22"/>
                <w:szCs w:val="22"/>
              </w:rPr>
            </w:pPr>
            <w:r>
              <w:rPr>
                <w:rFonts w:hint="eastAsia" w:ascii="宋体" w:hAnsi="宋体" w:cs="宋体"/>
                <w:kern w:val="0"/>
                <w:szCs w:val="21"/>
              </w:rPr>
              <w:t>480GB 6G SATA 2.5in SSD</w:t>
            </w:r>
          </w:p>
        </w:tc>
        <w:tc>
          <w:tcPr>
            <w:tcW w:w="472" w:type="pct"/>
            <w:tcBorders>
              <w:top w:val="nil"/>
              <w:left w:val="nil"/>
              <w:bottom w:val="single" w:color="auto" w:sz="4" w:space="0"/>
              <w:right w:val="single" w:color="auto" w:sz="4" w:space="0"/>
            </w:tcBorders>
            <w:vAlign w:val="center"/>
          </w:tcPr>
          <w:p w14:paraId="6D37E69F">
            <w:pPr>
              <w:widowControl/>
              <w:ind w:firstLine="220" w:firstLineChars="100"/>
              <w:rPr>
                <w:rFonts w:ascii="宋体" w:hAnsi="宋体" w:cs="宋体"/>
                <w:color w:val="000000"/>
                <w:kern w:val="0"/>
                <w:sz w:val="22"/>
                <w:szCs w:val="22"/>
              </w:rPr>
            </w:pPr>
            <w:r>
              <w:rPr>
                <w:rFonts w:hint="eastAsia" w:ascii="宋体" w:hAnsi="宋体" w:eastAsia="Times New Roman" w:cs="宋体"/>
                <w:color w:val="000000"/>
                <w:kern w:val="0"/>
                <w:sz w:val="22"/>
                <w:szCs w:val="22"/>
              </w:rPr>
              <w:t>6</w:t>
            </w:r>
          </w:p>
        </w:tc>
        <w:tc>
          <w:tcPr>
            <w:tcW w:w="463" w:type="pct"/>
            <w:tcBorders>
              <w:top w:val="single" w:color="000000" w:sz="4" w:space="0"/>
              <w:left w:val="single" w:color="auto" w:sz="4" w:space="0"/>
              <w:bottom w:val="single" w:color="000000" w:sz="4" w:space="0"/>
              <w:right w:val="single" w:color="auto" w:sz="4" w:space="0"/>
            </w:tcBorders>
            <w:vAlign w:val="center"/>
          </w:tcPr>
          <w:p w14:paraId="61E77A1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kern w:val="0"/>
                <w:sz w:val="22"/>
                <w:szCs w:val="22"/>
              </w:rPr>
            </w:pPr>
            <w:r>
              <w:rPr>
                <w:rFonts w:hint="eastAsia" w:ascii="宋体" w:hAnsi="宋体" w:eastAsia="Times New Roman" w:cs="宋体"/>
                <w:color w:val="000000"/>
                <w:kern w:val="0"/>
                <w:sz w:val="22"/>
                <w:szCs w:val="22"/>
              </w:rPr>
              <w:t>个</w:t>
            </w:r>
          </w:p>
        </w:tc>
        <w:tc>
          <w:tcPr>
            <w:tcW w:w="1171" w:type="pct"/>
            <w:tcBorders>
              <w:top w:val="single" w:color="000000" w:sz="4" w:space="0"/>
              <w:left w:val="single" w:color="auto" w:sz="4" w:space="0"/>
              <w:bottom w:val="single" w:color="000000" w:sz="4" w:space="0"/>
              <w:right w:val="single" w:color="auto" w:sz="4" w:space="0"/>
            </w:tcBorders>
            <w:vAlign w:val="center"/>
          </w:tcPr>
          <w:p w14:paraId="59E2A634">
            <w:pPr>
              <w:widowControl/>
              <w:ind w:firstLine="440"/>
              <w:jc w:val="left"/>
              <w:rPr>
                <w:rFonts w:ascii="宋体" w:hAnsi="宋体" w:eastAsia="Times New Roman" w:cs="宋体"/>
                <w:color w:val="000000"/>
                <w:kern w:val="0"/>
                <w:sz w:val="22"/>
                <w:szCs w:val="22"/>
              </w:rPr>
            </w:pPr>
            <w:r>
              <w:rPr>
                <w:rFonts w:hint="eastAsia" w:ascii="宋体" w:hAnsi="宋体" w:eastAsia="Times New Roman" w:cs="宋体"/>
                <w:color w:val="000000"/>
                <w:kern w:val="0"/>
                <w:sz w:val="22"/>
                <w:szCs w:val="22"/>
              </w:rPr>
              <w:t> </w:t>
            </w:r>
          </w:p>
        </w:tc>
      </w:tr>
      <w:tr w14:paraId="3EC91210">
        <w:tblPrEx>
          <w:tblCellMar>
            <w:top w:w="0" w:type="dxa"/>
            <w:left w:w="108" w:type="dxa"/>
            <w:bottom w:w="0" w:type="dxa"/>
            <w:right w:w="108" w:type="dxa"/>
          </w:tblCellMar>
        </w:tblPrEx>
        <w:trPr>
          <w:trHeight w:val="285" w:hRule="atLeast"/>
        </w:trPr>
        <w:tc>
          <w:tcPr>
            <w:tcW w:w="434" w:type="pct"/>
            <w:vMerge w:val="restart"/>
            <w:tcBorders>
              <w:top w:val="single" w:color="000000" w:sz="4" w:space="0"/>
              <w:left w:val="single" w:color="auto" w:sz="4" w:space="0"/>
              <w:right w:val="single" w:color="auto" w:sz="4" w:space="0"/>
            </w:tcBorders>
            <w:vAlign w:val="center"/>
          </w:tcPr>
          <w:p w14:paraId="33C9401E">
            <w:pPr>
              <w:widowControl/>
              <w:ind w:firstLine="440"/>
              <w:jc w:val="center"/>
              <w:rPr>
                <w:rFonts w:ascii="宋体" w:hAnsi="宋体" w:cs="宋体"/>
                <w:color w:val="000000"/>
                <w:kern w:val="0"/>
                <w:sz w:val="22"/>
                <w:szCs w:val="22"/>
              </w:rPr>
            </w:pPr>
            <w:r>
              <w:rPr>
                <w:rFonts w:hint="eastAsia" w:ascii="宋体" w:hAnsi="宋体" w:eastAsia="Times New Roman" w:cs="宋体"/>
                <w:color w:val="000000"/>
                <w:kern w:val="0"/>
                <w:sz w:val="22"/>
                <w:szCs w:val="22"/>
              </w:rPr>
              <w:t>3</w:t>
            </w:r>
          </w:p>
        </w:tc>
        <w:tc>
          <w:tcPr>
            <w:tcW w:w="860" w:type="pct"/>
            <w:vMerge w:val="restart"/>
            <w:tcBorders>
              <w:top w:val="single" w:color="000000" w:sz="4" w:space="0"/>
              <w:left w:val="nil"/>
              <w:right w:val="single" w:color="auto" w:sz="4" w:space="0"/>
            </w:tcBorders>
            <w:vAlign w:val="center"/>
          </w:tcPr>
          <w:p w14:paraId="31A2E1AE">
            <w:pPr>
              <w:widowControl/>
              <w:ind w:firstLine="0" w:firstLineChars="0"/>
              <w:rPr>
                <w:rFonts w:ascii="宋体" w:hAnsi="宋体" w:cs="宋体"/>
                <w:color w:val="000000"/>
                <w:kern w:val="0"/>
                <w:sz w:val="22"/>
                <w:szCs w:val="22"/>
              </w:rPr>
            </w:pPr>
            <w:r>
              <w:rPr>
                <w:rFonts w:hint="eastAsia" w:ascii="宋体" w:hAnsi="宋体" w:cs="宋体"/>
                <w:color w:val="000000"/>
                <w:kern w:val="0"/>
                <w:sz w:val="22"/>
                <w:szCs w:val="22"/>
              </w:rPr>
              <w:t>扩容超融合软件授权</w:t>
            </w:r>
          </w:p>
        </w:tc>
        <w:tc>
          <w:tcPr>
            <w:tcW w:w="1597" w:type="pct"/>
            <w:tcBorders>
              <w:top w:val="nil"/>
              <w:left w:val="nil"/>
              <w:bottom w:val="single" w:color="auto" w:sz="4" w:space="0"/>
              <w:right w:val="single" w:color="auto" w:sz="4" w:space="0"/>
            </w:tcBorders>
            <w:vAlign w:val="center"/>
          </w:tcPr>
          <w:p w14:paraId="5BD16675">
            <w:pPr>
              <w:widowControl/>
              <w:ind w:firstLine="0" w:firstLineChars="0"/>
              <w:jc w:val="left"/>
              <w:rPr>
                <w:rFonts w:ascii="宋体" w:hAnsi="宋体" w:eastAsia="Times New Roman" w:cs="宋体"/>
                <w:color w:val="000000"/>
                <w:kern w:val="0"/>
                <w:sz w:val="22"/>
                <w:szCs w:val="22"/>
              </w:rPr>
            </w:pPr>
            <w:r>
              <w:rPr>
                <w:rFonts w:hint="eastAsia" w:ascii="宋体" w:hAnsi="宋体" w:eastAsia="Times New Roman" w:cs="宋体"/>
                <w:color w:val="000000"/>
                <w:kern w:val="0"/>
                <w:sz w:val="22"/>
                <w:szCs w:val="22"/>
              </w:rPr>
              <w:t>计算服务器虚拟化软件软件</w:t>
            </w:r>
          </w:p>
        </w:tc>
        <w:tc>
          <w:tcPr>
            <w:tcW w:w="472" w:type="pct"/>
            <w:tcBorders>
              <w:top w:val="nil"/>
              <w:left w:val="nil"/>
              <w:right w:val="single" w:color="auto" w:sz="4" w:space="0"/>
            </w:tcBorders>
            <w:vAlign w:val="center"/>
          </w:tcPr>
          <w:p w14:paraId="76A41F94">
            <w:pPr>
              <w:widowControl/>
              <w:ind w:firstLine="220" w:firstLineChars="100"/>
              <w:rPr>
                <w:rFonts w:ascii="宋体" w:hAnsi="宋体" w:cs="宋体"/>
                <w:color w:val="000000"/>
                <w:kern w:val="0"/>
                <w:sz w:val="22"/>
                <w:szCs w:val="22"/>
              </w:rPr>
            </w:pPr>
            <w:r>
              <w:rPr>
                <w:rFonts w:hint="eastAsia" w:ascii="宋体" w:hAnsi="宋体" w:cs="宋体"/>
                <w:color w:val="000000"/>
                <w:kern w:val="0"/>
                <w:sz w:val="22"/>
                <w:szCs w:val="22"/>
              </w:rPr>
              <w:t>2</w:t>
            </w:r>
          </w:p>
        </w:tc>
        <w:tc>
          <w:tcPr>
            <w:tcW w:w="463" w:type="pct"/>
            <w:tcBorders>
              <w:top w:val="single" w:color="000000" w:sz="4" w:space="0"/>
              <w:left w:val="single" w:color="auto" w:sz="4" w:space="0"/>
              <w:right w:val="single" w:color="auto" w:sz="4" w:space="0"/>
            </w:tcBorders>
            <w:vAlign w:val="center"/>
          </w:tcPr>
          <w:p w14:paraId="037B03A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个</w:t>
            </w:r>
          </w:p>
        </w:tc>
        <w:tc>
          <w:tcPr>
            <w:tcW w:w="1171" w:type="pct"/>
            <w:vMerge w:val="restart"/>
            <w:tcBorders>
              <w:top w:val="single" w:color="000000" w:sz="4" w:space="0"/>
              <w:left w:val="single" w:color="auto" w:sz="4" w:space="0"/>
              <w:right w:val="single" w:color="auto" w:sz="4" w:space="0"/>
            </w:tcBorders>
            <w:vAlign w:val="center"/>
          </w:tcPr>
          <w:p w14:paraId="5CA703AD">
            <w:pPr>
              <w:widowControl/>
              <w:ind w:firstLine="0" w:firstLineChars="0"/>
              <w:rPr>
                <w:rFonts w:ascii="宋体" w:hAnsi="宋体" w:cs="宋体"/>
                <w:color w:val="000000"/>
                <w:kern w:val="0"/>
                <w:sz w:val="22"/>
                <w:szCs w:val="22"/>
              </w:rPr>
            </w:pPr>
            <w:r>
              <w:rPr>
                <w:rFonts w:hint="eastAsia"/>
              </w:rPr>
              <w:t>软件版本须与现有深信服超融合平台版本兼容，按cpu数量授权。</w:t>
            </w:r>
          </w:p>
        </w:tc>
      </w:tr>
      <w:tr w14:paraId="7ECA4AB1">
        <w:tblPrEx>
          <w:tblCellMar>
            <w:top w:w="0" w:type="dxa"/>
            <w:left w:w="108" w:type="dxa"/>
            <w:bottom w:w="0" w:type="dxa"/>
            <w:right w:w="108" w:type="dxa"/>
          </w:tblCellMar>
        </w:tblPrEx>
        <w:trPr>
          <w:trHeight w:val="285" w:hRule="atLeast"/>
        </w:trPr>
        <w:tc>
          <w:tcPr>
            <w:tcW w:w="434" w:type="pct"/>
            <w:vMerge w:val="continue"/>
            <w:tcBorders>
              <w:left w:val="single" w:color="auto" w:sz="4" w:space="0"/>
              <w:right w:val="single" w:color="auto" w:sz="4" w:space="0"/>
            </w:tcBorders>
            <w:vAlign w:val="center"/>
          </w:tcPr>
          <w:p w14:paraId="5F6D58F2">
            <w:pPr>
              <w:widowControl/>
              <w:ind w:firstLine="420"/>
              <w:jc w:val="center"/>
            </w:pPr>
          </w:p>
        </w:tc>
        <w:tc>
          <w:tcPr>
            <w:tcW w:w="860" w:type="pct"/>
            <w:vMerge w:val="continue"/>
            <w:tcBorders>
              <w:left w:val="nil"/>
              <w:right w:val="single" w:color="auto" w:sz="4" w:space="0"/>
            </w:tcBorders>
            <w:vAlign w:val="center"/>
          </w:tcPr>
          <w:p w14:paraId="6A9C0652">
            <w:pPr>
              <w:widowControl/>
              <w:ind w:firstLine="420"/>
              <w:jc w:val="left"/>
            </w:pPr>
          </w:p>
        </w:tc>
        <w:tc>
          <w:tcPr>
            <w:tcW w:w="1597" w:type="pct"/>
            <w:tcBorders>
              <w:top w:val="nil"/>
              <w:left w:val="nil"/>
              <w:bottom w:val="single" w:color="auto" w:sz="4" w:space="0"/>
              <w:right w:val="single" w:color="auto" w:sz="4" w:space="0"/>
            </w:tcBorders>
            <w:vAlign w:val="center"/>
          </w:tcPr>
          <w:p w14:paraId="1E528EC0">
            <w:pPr>
              <w:widowControl/>
              <w:ind w:firstLine="440"/>
              <w:jc w:val="left"/>
              <w:rPr>
                <w:rFonts w:ascii="宋体" w:hAnsi="宋体" w:eastAsia="Times New Roman" w:cs="宋体"/>
                <w:color w:val="000000"/>
                <w:kern w:val="0"/>
                <w:sz w:val="22"/>
                <w:szCs w:val="22"/>
              </w:rPr>
            </w:pPr>
            <w:r>
              <w:rPr>
                <w:rFonts w:hint="eastAsia" w:ascii="宋体" w:hAnsi="宋体" w:eastAsia="Times New Roman" w:cs="宋体"/>
                <w:color w:val="000000"/>
                <w:kern w:val="0"/>
                <w:sz w:val="22"/>
                <w:szCs w:val="22"/>
              </w:rPr>
              <w:t>存储虚拟化软件</w:t>
            </w:r>
          </w:p>
        </w:tc>
        <w:tc>
          <w:tcPr>
            <w:tcW w:w="472" w:type="pct"/>
            <w:tcBorders>
              <w:left w:val="nil"/>
              <w:right w:val="single" w:color="auto" w:sz="4" w:space="0"/>
            </w:tcBorders>
            <w:vAlign w:val="center"/>
          </w:tcPr>
          <w:p w14:paraId="0ADBE029">
            <w:pPr>
              <w:widowControl/>
              <w:ind w:firstLine="220" w:firstLineChars="100"/>
              <w:rPr>
                <w:rFonts w:ascii="宋体" w:hAnsi="宋体" w:cs="宋体"/>
                <w:color w:val="000000"/>
                <w:kern w:val="0"/>
                <w:sz w:val="22"/>
                <w:szCs w:val="22"/>
              </w:rPr>
            </w:pPr>
            <w:r>
              <w:rPr>
                <w:rFonts w:hint="eastAsia" w:ascii="宋体" w:hAnsi="宋体" w:cs="宋体"/>
                <w:color w:val="000000"/>
                <w:kern w:val="0"/>
                <w:sz w:val="22"/>
                <w:szCs w:val="22"/>
              </w:rPr>
              <w:t>2</w:t>
            </w:r>
          </w:p>
        </w:tc>
        <w:tc>
          <w:tcPr>
            <w:tcW w:w="463" w:type="pct"/>
            <w:tcBorders>
              <w:left w:val="single" w:color="auto" w:sz="4" w:space="0"/>
              <w:right w:val="single" w:color="auto" w:sz="4" w:space="0"/>
            </w:tcBorders>
            <w:vAlign w:val="center"/>
          </w:tcPr>
          <w:p w14:paraId="6F11BF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个</w:t>
            </w:r>
          </w:p>
        </w:tc>
        <w:tc>
          <w:tcPr>
            <w:tcW w:w="1171" w:type="pct"/>
            <w:vMerge w:val="continue"/>
            <w:tcBorders>
              <w:left w:val="single" w:color="auto" w:sz="4" w:space="0"/>
              <w:right w:val="single" w:color="auto" w:sz="4" w:space="0"/>
            </w:tcBorders>
            <w:vAlign w:val="center"/>
          </w:tcPr>
          <w:p w14:paraId="260EEF79">
            <w:pPr>
              <w:widowControl/>
              <w:ind w:firstLine="440"/>
              <w:jc w:val="left"/>
              <w:rPr>
                <w:rFonts w:ascii="宋体" w:hAnsi="宋体" w:eastAsia="Times New Roman" w:cs="宋体"/>
                <w:color w:val="000000"/>
                <w:kern w:val="0"/>
                <w:sz w:val="22"/>
                <w:szCs w:val="22"/>
              </w:rPr>
            </w:pPr>
          </w:p>
        </w:tc>
      </w:tr>
      <w:tr w14:paraId="25926074">
        <w:tblPrEx>
          <w:tblCellMar>
            <w:top w:w="0" w:type="dxa"/>
            <w:left w:w="108" w:type="dxa"/>
            <w:bottom w:w="0" w:type="dxa"/>
            <w:right w:w="108" w:type="dxa"/>
          </w:tblCellMar>
        </w:tblPrEx>
        <w:trPr>
          <w:trHeight w:val="202" w:hRule="atLeast"/>
        </w:trPr>
        <w:tc>
          <w:tcPr>
            <w:tcW w:w="434" w:type="pct"/>
            <w:vMerge w:val="continue"/>
            <w:tcBorders>
              <w:left w:val="single" w:color="auto" w:sz="4" w:space="0"/>
              <w:bottom w:val="single" w:color="auto" w:sz="4" w:space="0"/>
              <w:right w:val="single" w:color="auto" w:sz="4" w:space="0"/>
            </w:tcBorders>
            <w:vAlign w:val="center"/>
          </w:tcPr>
          <w:p w14:paraId="18642D01">
            <w:pPr>
              <w:widowControl/>
              <w:ind w:firstLine="440"/>
              <w:jc w:val="center"/>
              <w:rPr>
                <w:rFonts w:ascii="宋体" w:hAnsi="宋体" w:eastAsia="Times New Roman" w:cs="宋体"/>
                <w:color w:val="000000"/>
                <w:kern w:val="0"/>
                <w:sz w:val="22"/>
                <w:szCs w:val="22"/>
              </w:rPr>
            </w:pPr>
          </w:p>
        </w:tc>
        <w:tc>
          <w:tcPr>
            <w:tcW w:w="860" w:type="pct"/>
            <w:vMerge w:val="continue"/>
            <w:tcBorders>
              <w:left w:val="nil"/>
              <w:bottom w:val="single" w:color="auto" w:sz="4" w:space="0"/>
              <w:right w:val="single" w:color="auto" w:sz="4" w:space="0"/>
            </w:tcBorders>
            <w:vAlign w:val="center"/>
          </w:tcPr>
          <w:p w14:paraId="5FFBBF2C">
            <w:pPr>
              <w:widowControl/>
              <w:ind w:firstLine="440"/>
              <w:jc w:val="left"/>
              <w:rPr>
                <w:rFonts w:ascii="宋体" w:hAnsi="宋体" w:eastAsia="Times New Roman" w:cs="宋体"/>
                <w:color w:val="000000"/>
                <w:kern w:val="0"/>
                <w:sz w:val="22"/>
                <w:szCs w:val="22"/>
              </w:rPr>
            </w:pPr>
          </w:p>
        </w:tc>
        <w:tc>
          <w:tcPr>
            <w:tcW w:w="1597" w:type="pct"/>
            <w:tcBorders>
              <w:top w:val="nil"/>
              <w:left w:val="nil"/>
              <w:bottom w:val="single" w:color="auto" w:sz="4" w:space="0"/>
              <w:right w:val="single" w:color="auto" w:sz="4" w:space="0"/>
            </w:tcBorders>
            <w:vAlign w:val="center"/>
          </w:tcPr>
          <w:p w14:paraId="7D88AF9F">
            <w:pPr>
              <w:widowControl/>
              <w:ind w:firstLine="440"/>
              <w:jc w:val="left"/>
              <w:rPr>
                <w:rFonts w:ascii="宋体" w:hAnsi="宋体" w:eastAsia="Times New Roman" w:cs="宋体"/>
                <w:color w:val="000000"/>
                <w:kern w:val="0"/>
                <w:sz w:val="22"/>
                <w:szCs w:val="22"/>
              </w:rPr>
            </w:pPr>
            <w:r>
              <w:rPr>
                <w:rFonts w:hint="eastAsia" w:ascii="宋体" w:hAnsi="宋体" w:eastAsia="Times New Roman" w:cs="宋体"/>
                <w:color w:val="000000"/>
                <w:kern w:val="0"/>
                <w:sz w:val="22"/>
                <w:szCs w:val="22"/>
              </w:rPr>
              <w:t>网络虚拟化软件</w:t>
            </w:r>
          </w:p>
        </w:tc>
        <w:tc>
          <w:tcPr>
            <w:tcW w:w="472" w:type="pct"/>
            <w:tcBorders>
              <w:left w:val="nil"/>
              <w:bottom w:val="single" w:color="auto" w:sz="4" w:space="0"/>
              <w:right w:val="single" w:color="auto" w:sz="4" w:space="0"/>
            </w:tcBorders>
            <w:vAlign w:val="center"/>
          </w:tcPr>
          <w:p w14:paraId="1EDC0155">
            <w:pPr>
              <w:widowControl/>
              <w:ind w:firstLine="220" w:firstLineChars="100"/>
              <w:rPr>
                <w:rFonts w:ascii="宋体" w:hAnsi="宋体" w:cs="宋体"/>
                <w:color w:val="000000"/>
                <w:kern w:val="0"/>
                <w:sz w:val="22"/>
                <w:szCs w:val="22"/>
              </w:rPr>
            </w:pPr>
            <w:r>
              <w:rPr>
                <w:rFonts w:hint="eastAsia" w:ascii="宋体" w:hAnsi="宋体" w:cs="宋体"/>
                <w:color w:val="000000"/>
                <w:kern w:val="0"/>
                <w:sz w:val="22"/>
                <w:szCs w:val="22"/>
              </w:rPr>
              <w:t>2</w:t>
            </w:r>
          </w:p>
        </w:tc>
        <w:tc>
          <w:tcPr>
            <w:tcW w:w="463" w:type="pct"/>
            <w:tcBorders>
              <w:left w:val="single" w:color="auto" w:sz="4" w:space="0"/>
              <w:bottom w:val="single" w:color="auto" w:sz="4" w:space="0"/>
              <w:right w:val="single" w:color="auto" w:sz="4" w:space="0"/>
            </w:tcBorders>
            <w:vAlign w:val="center"/>
          </w:tcPr>
          <w:p w14:paraId="6B6C2D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个</w:t>
            </w:r>
          </w:p>
        </w:tc>
        <w:tc>
          <w:tcPr>
            <w:tcW w:w="1171" w:type="pct"/>
            <w:vMerge w:val="continue"/>
            <w:tcBorders>
              <w:left w:val="single" w:color="auto" w:sz="4" w:space="0"/>
              <w:bottom w:val="single" w:color="auto" w:sz="4" w:space="0"/>
              <w:right w:val="single" w:color="auto" w:sz="4" w:space="0"/>
            </w:tcBorders>
            <w:vAlign w:val="center"/>
          </w:tcPr>
          <w:p w14:paraId="00FDA710">
            <w:pPr>
              <w:widowControl/>
              <w:ind w:firstLine="440"/>
              <w:jc w:val="left"/>
              <w:rPr>
                <w:rFonts w:ascii="宋体" w:hAnsi="宋体" w:eastAsia="Times New Roman" w:cs="宋体"/>
                <w:color w:val="000000"/>
                <w:kern w:val="0"/>
                <w:sz w:val="22"/>
                <w:szCs w:val="22"/>
              </w:rPr>
            </w:pPr>
          </w:p>
        </w:tc>
      </w:tr>
      <w:tr w14:paraId="3F7DD7B7">
        <w:tblPrEx>
          <w:tblCellMar>
            <w:top w:w="0" w:type="dxa"/>
            <w:left w:w="108" w:type="dxa"/>
            <w:bottom w:w="0" w:type="dxa"/>
            <w:right w:w="108" w:type="dxa"/>
          </w:tblCellMar>
        </w:tblPrEx>
        <w:trPr>
          <w:trHeight w:val="429" w:hRule="atLeast"/>
        </w:trPr>
        <w:tc>
          <w:tcPr>
            <w:tcW w:w="434" w:type="pct"/>
            <w:tcBorders>
              <w:top w:val="single" w:color="auto" w:sz="4" w:space="0"/>
              <w:left w:val="single" w:color="auto" w:sz="4" w:space="0"/>
              <w:bottom w:val="single" w:color="auto" w:sz="4" w:space="0"/>
              <w:right w:val="single" w:color="auto" w:sz="4" w:space="0"/>
            </w:tcBorders>
            <w:vAlign w:val="center"/>
          </w:tcPr>
          <w:p w14:paraId="0EE37F17">
            <w:pPr>
              <w:widowControl/>
              <w:ind w:firstLine="440"/>
              <w:jc w:val="center"/>
              <w:rPr>
                <w:rFonts w:ascii="宋体" w:hAnsi="宋体" w:eastAsia="Times New Roman" w:cs="宋体"/>
                <w:color w:val="000000"/>
                <w:kern w:val="0"/>
                <w:sz w:val="22"/>
                <w:szCs w:val="22"/>
              </w:rPr>
            </w:pPr>
            <w:r>
              <w:rPr>
                <w:rFonts w:hint="eastAsia" w:ascii="宋体" w:hAnsi="宋体" w:eastAsia="Times New Roman" w:cs="宋体"/>
                <w:color w:val="000000"/>
                <w:kern w:val="0"/>
                <w:sz w:val="22"/>
                <w:szCs w:val="22"/>
              </w:rPr>
              <w:t>4</w:t>
            </w:r>
          </w:p>
        </w:tc>
        <w:tc>
          <w:tcPr>
            <w:tcW w:w="860" w:type="pct"/>
            <w:tcBorders>
              <w:top w:val="single" w:color="auto" w:sz="4" w:space="0"/>
              <w:left w:val="single" w:color="auto" w:sz="4" w:space="0"/>
              <w:bottom w:val="single" w:color="auto" w:sz="4" w:space="0"/>
              <w:right w:val="single" w:color="auto" w:sz="4" w:space="0"/>
            </w:tcBorders>
            <w:vAlign w:val="center"/>
          </w:tcPr>
          <w:p w14:paraId="0A02C061">
            <w:pPr>
              <w:widowControl/>
              <w:ind w:firstLine="0" w:firstLineChars="0"/>
              <w:rPr>
                <w:rFonts w:ascii="宋体" w:hAnsi="宋体" w:cs="宋体"/>
                <w:color w:val="000000"/>
                <w:kern w:val="0"/>
                <w:sz w:val="22"/>
                <w:szCs w:val="22"/>
              </w:rPr>
            </w:pPr>
            <w:r>
              <w:rPr>
                <w:rFonts w:ascii="宋体" w:hAnsi="宋体" w:cs="宋体"/>
                <w:color w:val="000000"/>
                <w:kern w:val="0"/>
                <w:sz w:val="22"/>
                <w:szCs w:val="22"/>
              </w:rPr>
              <w:t>超融合平台生产及容灾端升级服务</w:t>
            </w:r>
          </w:p>
        </w:tc>
        <w:tc>
          <w:tcPr>
            <w:tcW w:w="1597" w:type="pct"/>
            <w:tcBorders>
              <w:top w:val="single" w:color="auto" w:sz="4" w:space="0"/>
              <w:left w:val="single" w:color="auto" w:sz="4" w:space="0"/>
              <w:bottom w:val="single" w:color="auto" w:sz="4" w:space="0"/>
              <w:right w:val="single" w:color="auto" w:sz="4" w:space="0"/>
            </w:tcBorders>
            <w:vAlign w:val="center"/>
          </w:tcPr>
          <w:p w14:paraId="297719FD">
            <w:pPr>
              <w:widowControl/>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超融合及容灾平台升级服务</w:t>
            </w:r>
          </w:p>
        </w:tc>
        <w:tc>
          <w:tcPr>
            <w:tcW w:w="472" w:type="pct"/>
            <w:tcBorders>
              <w:top w:val="single" w:color="auto" w:sz="4" w:space="0"/>
              <w:left w:val="single" w:color="auto" w:sz="4" w:space="0"/>
              <w:bottom w:val="single" w:color="auto" w:sz="4" w:space="0"/>
              <w:right w:val="single" w:color="auto" w:sz="4" w:space="0"/>
            </w:tcBorders>
            <w:vAlign w:val="center"/>
          </w:tcPr>
          <w:p w14:paraId="1D9A902B">
            <w:pPr>
              <w:widowControl/>
              <w:ind w:firstLine="220" w:firstLineChars="100"/>
              <w:rPr>
                <w:rFonts w:ascii="宋体" w:hAnsi="宋体" w:cs="宋体"/>
                <w:color w:val="000000"/>
                <w:kern w:val="0"/>
                <w:sz w:val="22"/>
                <w:szCs w:val="22"/>
              </w:rPr>
            </w:pPr>
            <w:r>
              <w:rPr>
                <w:rFonts w:hint="eastAsia" w:ascii="宋体" w:hAnsi="宋体" w:cs="宋体"/>
                <w:color w:val="000000"/>
                <w:kern w:val="0"/>
                <w:sz w:val="22"/>
                <w:szCs w:val="22"/>
              </w:rPr>
              <w:t>1</w:t>
            </w:r>
          </w:p>
        </w:tc>
        <w:tc>
          <w:tcPr>
            <w:tcW w:w="463" w:type="pct"/>
            <w:tcBorders>
              <w:top w:val="single" w:color="auto" w:sz="4" w:space="0"/>
              <w:left w:val="single" w:color="auto" w:sz="4" w:space="0"/>
              <w:bottom w:val="single" w:color="auto" w:sz="4" w:space="0"/>
              <w:right w:val="single" w:color="auto" w:sz="4" w:space="0"/>
            </w:tcBorders>
            <w:vAlign w:val="center"/>
          </w:tcPr>
          <w:p w14:paraId="5C5CB4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项</w:t>
            </w:r>
          </w:p>
        </w:tc>
        <w:tc>
          <w:tcPr>
            <w:tcW w:w="1171" w:type="pct"/>
            <w:tcBorders>
              <w:top w:val="single" w:color="auto" w:sz="4" w:space="0"/>
              <w:left w:val="single" w:color="auto" w:sz="4" w:space="0"/>
              <w:bottom w:val="single" w:color="auto" w:sz="4" w:space="0"/>
              <w:right w:val="single" w:color="auto" w:sz="4" w:space="0"/>
            </w:tcBorders>
            <w:vAlign w:val="center"/>
          </w:tcPr>
          <w:p w14:paraId="432D0042">
            <w:pPr>
              <w:widowControl/>
              <w:ind w:firstLine="420"/>
              <w:jc w:val="left"/>
              <w:rPr>
                <w:rFonts w:ascii="宋体" w:hAnsi="宋体" w:cs="宋体"/>
                <w:color w:val="000000"/>
                <w:kern w:val="0"/>
                <w:sz w:val="22"/>
                <w:szCs w:val="22"/>
              </w:rPr>
            </w:pPr>
            <w:r>
              <w:rPr>
                <w:rFonts w:hint="eastAsia" w:eastAsia="Times New Roman"/>
              </w:rPr>
              <w:t>/</w:t>
            </w:r>
          </w:p>
        </w:tc>
      </w:tr>
    </w:tbl>
    <w:p w14:paraId="3E8850FE">
      <w:pPr>
        <w:pStyle w:val="43"/>
        <w:ind w:left="0" w:leftChars="0" w:firstLine="0" w:firstLineChars="0"/>
      </w:pPr>
    </w:p>
    <w:p w14:paraId="3221B1E9">
      <w:pPr>
        <w:numPr>
          <w:ilvl w:val="0"/>
          <w:numId w:val="5"/>
        </w:numPr>
        <w:autoSpaceDE w:val="0"/>
        <w:autoSpaceDN w:val="0"/>
        <w:adjustRightInd w:val="0"/>
        <w:ind w:firstLine="555" w:firstLineChars="0"/>
        <w:jc w:val="left"/>
        <w:rPr>
          <w:rFonts w:ascii="宋体" w:hAnsi="宋体" w:cs="宋体"/>
          <w:b/>
          <w:bCs/>
          <w:color w:val="000000"/>
          <w:kern w:val="0"/>
          <w:szCs w:val="21"/>
        </w:rPr>
      </w:pPr>
      <w:r>
        <w:rPr>
          <w:rFonts w:hint="eastAsia" w:ascii="宋体" w:hAnsi="宋体" w:cs="宋体"/>
          <w:b/>
          <w:bCs/>
          <w:color w:val="000000"/>
          <w:kern w:val="0"/>
          <w:szCs w:val="21"/>
        </w:rPr>
        <w:t>参数要求</w:t>
      </w:r>
    </w:p>
    <w:tbl>
      <w:tblPr>
        <w:tblStyle w:val="45"/>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80"/>
      </w:tblGrid>
      <w:tr w14:paraId="6C65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Align w:val="center"/>
          </w:tcPr>
          <w:p w14:paraId="39B79FA4">
            <w:pPr>
              <w:ind w:firstLine="0" w:firstLineChars="0"/>
              <w:jc w:val="center"/>
              <w:rPr>
                <w:rFonts w:ascii="宋体" w:hAnsi="宋体" w:eastAsia="Times New Roman" w:cs="宋体"/>
                <w:b/>
                <w:bCs/>
                <w:kern w:val="0"/>
                <w:szCs w:val="21"/>
              </w:rPr>
            </w:pPr>
            <w:r>
              <w:rPr>
                <w:rFonts w:hint="eastAsia" w:ascii="宋体" w:hAnsi="宋体" w:eastAsia="Times New Roman" w:cs="宋体"/>
                <w:b/>
                <w:bCs/>
                <w:kern w:val="0"/>
                <w:szCs w:val="21"/>
              </w:rPr>
              <w:t>项目名称</w:t>
            </w:r>
          </w:p>
        </w:tc>
        <w:tc>
          <w:tcPr>
            <w:tcW w:w="6480" w:type="dxa"/>
            <w:vAlign w:val="center"/>
          </w:tcPr>
          <w:p w14:paraId="0E30569F">
            <w:pPr>
              <w:ind w:firstLine="0" w:firstLineChars="0"/>
              <w:jc w:val="center"/>
              <w:rPr>
                <w:rFonts w:ascii="宋体" w:hAnsi="宋体" w:eastAsia="Times New Roman" w:cs="宋体"/>
                <w:b/>
                <w:bCs/>
                <w:kern w:val="0"/>
                <w:szCs w:val="21"/>
              </w:rPr>
            </w:pPr>
            <w:r>
              <w:rPr>
                <w:rFonts w:hint="eastAsia" w:ascii="宋体" w:hAnsi="宋体" w:eastAsia="Times New Roman" w:cs="宋体"/>
                <w:b/>
                <w:bCs/>
                <w:kern w:val="0"/>
                <w:szCs w:val="21"/>
              </w:rPr>
              <w:t>招标要求</w:t>
            </w:r>
          </w:p>
        </w:tc>
      </w:tr>
      <w:tr w14:paraId="40AB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Align w:val="center"/>
          </w:tcPr>
          <w:p w14:paraId="2A498A3F">
            <w:pPr>
              <w:ind w:firstLine="0" w:firstLineChars="0"/>
              <w:jc w:val="center"/>
              <w:rPr>
                <w:rFonts w:ascii="宋体" w:hAnsi="宋体" w:eastAsia="Times New Roman" w:cs="宋体"/>
                <w:kern w:val="0"/>
                <w:szCs w:val="21"/>
              </w:rPr>
            </w:pPr>
            <w:r>
              <w:rPr>
                <w:rFonts w:hint="eastAsia" w:ascii="宋体" w:hAnsi="宋体" w:eastAsia="Times New Roman" w:cs="宋体"/>
                <w:kern w:val="0"/>
                <w:szCs w:val="21"/>
              </w:rPr>
              <w:t>超融合节点硬件</w:t>
            </w:r>
          </w:p>
        </w:tc>
        <w:tc>
          <w:tcPr>
            <w:tcW w:w="6480" w:type="dxa"/>
          </w:tcPr>
          <w:p w14:paraId="489E9724">
            <w:pPr>
              <w:ind w:left="210" w:hanging="210" w:hangingChars="100"/>
              <w:jc w:val="left"/>
              <w:rPr>
                <w:rFonts w:ascii="宋体" w:hAnsi="宋体" w:eastAsia="Times New Roman" w:cs="宋体"/>
                <w:kern w:val="0"/>
                <w:szCs w:val="21"/>
              </w:rPr>
            </w:pPr>
            <w:r>
              <w:rPr>
                <w:rFonts w:hint="eastAsia" w:ascii="宋体" w:hAnsi="宋体" w:eastAsia="Times New Roman" w:cs="宋体"/>
                <w:kern w:val="0"/>
                <w:szCs w:val="21"/>
              </w:rPr>
              <w:t>支持无缝接入采购人现有的深信服超融合生产集群，投标人可自行前往现场进行勘察调研；配置需求如下：</w:t>
            </w:r>
          </w:p>
          <w:p w14:paraId="43E9CD4C">
            <w:pPr>
              <w:ind w:firstLine="0" w:firstLineChars="0"/>
              <w:jc w:val="left"/>
              <w:rPr>
                <w:rFonts w:ascii="宋体" w:hAnsi="宋体" w:eastAsia="Times New Roman" w:cs="宋体"/>
                <w:kern w:val="0"/>
                <w:szCs w:val="21"/>
              </w:rPr>
            </w:pPr>
            <w:r>
              <w:rPr>
                <w:rFonts w:hint="eastAsia" w:ascii="宋体" w:hAnsi="宋体" w:eastAsia="Times New Roman" w:cs="宋体"/>
                <w:kern w:val="0"/>
                <w:szCs w:val="21"/>
              </w:rPr>
              <w:t>2*2.4GHz/10核/13.75MB/100W) CPU模块</w:t>
            </w:r>
          </w:p>
          <w:p w14:paraId="6ADA592B">
            <w:pPr>
              <w:ind w:firstLine="0" w:firstLineChars="0"/>
              <w:jc w:val="left"/>
              <w:rPr>
                <w:rFonts w:ascii="宋体" w:hAnsi="宋体" w:eastAsia="Times New Roman" w:cs="宋体"/>
                <w:kern w:val="0"/>
                <w:szCs w:val="21"/>
              </w:rPr>
            </w:pPr>
            <w:r>
              <w:rPr>
                <w:rFonts w:hint="eastAsia" w:ascii="宋体" w:hAnsi="宋体" w:eastAsia="Times New Roman" w:cs="宋体"/>
                <w:kern w:val="0"/>
                <w:szCs w:val="21"/>
              </w:rPr>
              <w:t>8*32GB 2Rx4 DDR4-内存模块</w:t>
            </w:r>
          </w:p>
          <w:p w14:paraId="6D361EDC">
            <w:pPr>
              <w:ind w:firstLine="0" w:firstLineChars="0"/>
              <w:jc w:val="left"/>
              <w:rPr>
                <w:rFonts w:ascii="宋体" w:hAnsi="宋体" w:eastAsia="Times New Roman" w:cs="宋体"/>
                <w:kern w:val="0"/>
                <w:szCs w:val="21"/>
              </w:rPr>
            </w:pPr>
            <w:bookmarkStart w:id="17" w:name="OLE_LINK4"/>
            <w:r>
              <w:rPr>
                <w:rFonts w:hint="eastAsia" w:ascii="宋体" w:hAnsi="宋体" w:eastAsia="Times New Roman" w:cs="宋体"/>
                <w:kern w:val="0"/>
                <w:szCs w:val="21"/>
              </w:rPr>
              <w:t>4*480GB 6G SATA 2.5in SSD硬盘模块</w:t>
            </w:r>
          </w:p>
          <w:bookmarkEnd w:id="17"/>
          <w:p w14:paraId="5AF9D0F7">
            <w:pPr>
              <w:ind w:firstLine="0" w:firstLineChars="0"/>
              <w:jc w:val="left"/>
              <w:rPr>
                <w:rFonts w:ascii="宋体" w:hAnsi="宋体" w:eastAsia="Times New Roman" w:cs="宋体"/>
                <w:kern w:val="0"/>
                <w:szCs w:val="21"/>
              </w:rPr>
            </w:pPr>
            <w:r>
              <w:rPr>
                <w:rFonts w:hint="eastAsia" w:ascii="宋体" w:hAnsi="宋体" w:eastAsia="Times New Roman" w:cs="宋体"/>
                <w:kern w:val="0"/>
                <w:szCs w:val="21"/>
              </w:rPr>
              <w:t>2*240GB 6G SATA 2.5in SSD硬盘模块</w:t>
            </w:r>
          </w:p>
          <w:p w14:paraId="1604C882">
            <w:pPr>
              <w:ind w:firstLine="0" w:firstLineChars="0"/>
              <w:jc w:val="left"/>
              <w:rPr>
                <w:rFonts w:ascii="宋体" w:hAnsi="宋体" w:eastAsia="Times New Roman" w:cs="宋体"/>
                <w:kern w:val="0"/>
                <w:szCs w:val="21"/>
              </w:rPr>
            </w:pPr>
            <w:r>
              <w:rPr>
                <w:rFonts w:hint="eastAsia" w:ascii="宋体" w:hAnsi="宋体" w:eastAsia="Times New Roman" w:cs="宋体"/>
                <w:kern w:val="0"/>
                <w:szCs w:val="21"/>
              </w:rPr>
              <w:t>4*4TB 6G SATA 7.2K 3.5in EV 512e HDD硬盘模块</w:t>
            </w:r>
          </w:p>
          <w:p w14:paraId="2627DE66">
            <w:pPr>
              <w:ind w:firstLine="0" w:firstLineChars="0"/>
              <w:jc w:val="left"/>
              <w:rPr>
                <w:rFonts w:ascii="宋体" w:hAnsi="宋体" w:eastAsia="Times New Roman" w:cs="宋体"/>
                <w:kern w:val="0"/>
                <w:szCs w:val="21"/>
              </w:rPr>
            </w:pPr>
            <w:r>
              <w:rPr>
                <w:rFonts w:hint="eastAsia" w:ascii="宋体" w:hAnsi="宋体" w:eastAsia="Times New Roman" w:cs="宋体"/>
                <w:kern w:val="0"/>
                <w:szCs w:val="21"/>
              </w:rPr>
              <w:t>六口千兆+双口万兆含模块</w:t>
            </w:r>
          </w:p>
          <w:p w14:paraId="23280B46">
            <w:pPr>
              <w:ind w:firstLine="0" w:firstLineChars="0"/>
              <w:jc w:val="left"/>
              <w:rPr>
                <w:rFonts w:ascii="宋体" w:hAnsi="宋体" w:eastAsia="Times New Roman" w:cs="宋体"/>
                <w:kern w:val="0"/>
                <w:szCs w:val="21"/>
              </w:rPr>
            </w:pPr>
            <w:r>
              <w:rPr>
                <w:rFonts w:hint="eastAsia" w:ascii="宋体" w:hAnsi="宋体" w:eastAsia="Times New Roman" w:cs="宋体"/>
                <w:kern w:val="0"/>
                <w:szCs w:val="21"/>
              </w:rPr>
              <w:t>12Gb 2端口SAS HBA卡(支持8个SAS口)</w:t>
            </w:r>
          </w:p>
          <w:p w14:paraId="5C0880EF">
            <w:pPr>
              <w:ind w:firstLine="0" w:firstLineChars="0"/>
              <w:jc w:val="left"/>
              <w:rPr>
                <w:rFonts w:ascii="宋体" w:hAnsi="宋体" w:eastAsia="Times New Roman" w:cs="宋体"/>
                <w:kern w:val="0"/>
                <w:szCs w:val="21"/>
              </w:rPr>
            </w:pPr>
            <w:r>
              <w:rPr>
                <w:rFonts w:hint="eastAsia" w:ascii="宋体" w:hAnsi="宋体" w:eastAsia="Times New Roman" w:cs="宋体"/>
                <w:kern w:val="0"/>
                <w:szCs w:val="21"/>
              </w:rPr>
              <w:t>2*900W 交流&amp;240V高压直流电源模块</w:t>
            </w:r>
          </w:p>
        </w:tc>
      </w:tr>
      <w:tr w14:paraId="22FC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Align w:val="center"/>
          </w:tcPr>
          <w:p w14:paraId="3D2F280E">
            <w:pPr>
              <w:ind w:firstLine="0" w:firstLineChars="0"/>
              <w:jc w:val="center"/>
              <w:rPr>
                <w:rFonts w:ascii="宋体" w:hAnsi="宋体" w:eastAsia="Times New Roman" w:cs="宋体"/>
                <w:kern w:val="0"/>
                <w:szCs w:val="21"/>
              </w:rPr>
            </w:pPr>
            <w:bookmarkStart w:id="18" w:name="OLE_LINK6"/>
            <w:r>
              <w:rPr>
                <w:rFonts w:hint="eastAsia" w:ascii="宋体" w:hAnsi="宋体" w:eastAsia="Times New Roman" w:cs="宋体"/>
                <w:kern w:val="0"/>
                <w:szCs w:val="21"/>
              </w:rPr>
              <w:t>超融合企业级系统盘硬盘</w:t>
            </w:r>
            <w:bookmarkEnd w:id="18"/>
          </w:p>
        </w:tc>
        <w:tc>
          <w:tcPr>
            <w:tcW w:w="6480" w:type="dxa"/>
            <w:vAlign w:val="center"/>
          </w:tcPr>
          <w:p w14:paraId="1BA700EC">
            <w:pPr>
              <w:ind w:firstLine="0" w:firstLineChars="0"/>
              <w:rPr>
                <w:rFonts w:ascii="宋体" w:hAnsi="宋体" w:eastAsia="Times New Roman" w:cs="宋体"/>
                <w:kern w:val="0"/>
                <w:szCs w:val="21"/>
              </w:rPr>
            </w:pPr>
            <w:r>
              <w:rPr>
                <w:rFonts w:hint="eastAsia" w:ascii="宋体" w:hAnsi="宋体" w:eastAsia="Times New Roman" w:cs="宋体"/>
                <w:kern w:val="0"/>
                <w:szCs w:val="21"/>
              </w:rPr>
              <w:t>6*480GB 6G SATA 2.5in SSD硬盘</w:t>
            </w:r>
          </w:p>
        </w:tc>
      </w:tr>
      <w:tr w14:paraId="38EE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Align w:val="center"/>
          </w:tcPr>
          <w:p w14:paraId="165E04F8">
            <w:pPr>
              <w:ind w:firstLine="0" w:firstLineChars="0"/>
              <w:jc w:val="center"/>
              <w:rPr>
                <w:rFonts w:ascii="宋体" w:hAnsi="宋体" w:eastAsia="Times New Roman" w:cs="宋体"/>
                <w:kern w:val="0"/>
                <w:szCs w:val="21"/>
              </w:rPr>
            </w:pPr>
            <w:r>
              <w:rPr>
                <w:rFonts w:hint="eastAsia" w:ascii="宋体" w:hAnsi="宋体" w:eastAsia="Times New Roman" w:cs="宋体"/>
                <w:kern w:val="0"/>
                <w:szCs w:val="21"/>
              </w:rPr>
              <w:t>超融合平台生产及容灾端升级服务</w:t>
            </w:r>
          </w:p>
        </w:tc>
        <w:tc>
          <w:tcPr>
            <w:tcW w:w="6480" w:type="dxa"/>
          </w:tcPr>
          <w:p w14:paraId="42875B4E">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供应商配合用户对现有生产端主机系统硬盘进行替换，整个超融合的系统软件进行升级，升级前提供可行性技术方案，升级策略采用分步升级方案，保证升级期间业务中断窗口可控并最小化；</w:t>
            </w:r>
          </w:p>
          <w:p w14:paraId="038B2390">
            <w:pPr>
              <w:widowControl/>
              <w:tabs>
                <w:tab w:val="left" w:pos="360"/>
              </w:tabs>
              <w:ind w:firstLine="0" w:firstLineChars="0"/>
              <w:contextualSpacing/>
              <w:jc w:val="left"/>
              <w:rPr>
                <w:rFonts w:ascii="宋体" w:hAnsi="宋体" w:eastAsia="Times New Roman" w:cs="宋体"/>
                <w:color w:val="000000" w:themeColor="text1"/>
                <w:szCs w:val="21"/>
                <w14:textFill>
                  <w14:solidFill>
                    <w14:schemeClr w14:val="tx1"/>
                  </w14:solidFill>
                </w14:textFill>
              </w:rPr>
            </w:pPr>
            <w:bookmarkStart w:id="19" w:name="OLE_LINK7"/>
            <w:r>
              <w:rPr>
                <w:rFonts w:hint="eastAsia" w:eastAsia="Times New Roman"/>
                <w:color w:val="000000" w:themeColor="text1"/>
                <w14:textFill>
                  <w14:solidFill>
                    <w14:schemeClr w14:val="tx1"/>
                  </w14:solidFill>
                </w14:textFill>
              </w:rPr>
              <w:t>负责对超融合软件跨版本升级工作，</w:t>
            </w:r>
            <w:r>
              <w:rPr>
                <w:rFonts w:hint="eastAsia" w:ascii="宋体" w:hAnsi="宋体" w:eastAsia="Times New Roman" w:cs="宋体"/>
                <w:color w:val="000000" w:themeColor="text1"/>
                <w:szCs w:val="21"/>
                <w14:textFill>
                  <w14:solidFill>
                    <w14:schemeClr w14:val="tx1"/>
                  </w14:solidFill>
                </w14:textFill>
              </w:rPr>
              <w:t>总体要求三个小时内完成；</w:t>
            </w:r>
            <w:r>
              <w:rPr>
                <w:rFonts w:hint="eastAsia" w:eastAsia="Times New Roman"/>
                <w:color w:val="000000" w:themeColor="text1"/>
                <w14:textFill>
                  <w14:solidFill>
                    <w14:schemeClr w14:val="tx1"/>
                  </w14:solidFill>
                </w14:textFill>
              </w:rPr>
              <w:t>另供应商在升级级前和升级后负责容灾平台的测试，保证升级工作的应急环境可正常运行；</w:t>
            </w:r>
          </w:p>
          <w:bookmarkEnd w:id="19"/>
          <w:p w14:paraId="2FA5CB1C">
            <w:pPr>
              <w:pStyle w:val="43"/>
              <w:ind w:left="0" w:leftChars="0" w:firstLine="0" w:firstLineChars="0"/>
              <w:rPr>
                <w:rFonts w:ascii="宋体" w:hAnsi="宋体" w:eastAsia="Times New Roman" w:cs="宋体"/>
                <w:szCs w:val="21"/>
              </w:rPr>
            </w:pPr>
            <w:r>
              <w:rPr>
                <w:rFonts w:hint="eastAsia" w:eastAsia="Times New Roman"/>
              </w:rPr>
              <w:t>升级期间供应商负责对现有超融合平台下虚拟化主机、数据库、文件的备份、迁出、迁入工作，生产端实施完成后，负责容灾端的升级服务，生产容灾两端运行环境保持一致，保障容灾端有效可靠运行，并负责进行容灾演练。</w:t>
            </w:r>
          </w:p>
        </w:tc>
      </w:tr>
      <w:tr w14:paraId="42A6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restart"/>
            <w:vAlign w:val="center"/>
          </w:tcPr>
          <w:p w14:paraId="08412587">
            <w:pPr>
              <w:ind w:firstLine="0" w:firstLineChars="0"/>
              <w:jc w:val="center"/>
              <w:rPr>
                <w:rFonts w:ascii="宋体" w:hAnsi="宋体" w:eastAsia="Times New Roman" w:cs="宋体"/>
                <w:kern w:val="0"/>
                <w:szCs w:val="21"/>
              </w:rPr>
            </w:pPr>
            <w:r>
              <w:rPr>
                <w:rFonts w:hint="eastAsia" w:ascii="宋体" w:hAnsi="宋体" w:eastAsia="Times New Roman" w:cs="宋体"/>
                <w:kern w:val="0"/>
                <w:szCs w:val="21"/>
              </w:rPr>
              <w:t>计算虚拟化</w:t>
            </w:r>
          </w:p>
        </w:tc>
        <w:tc>
          <w:tcPr>
            <w:tcW w:w="6480" w:type="dxa"/>
          </w:tcPr>
          <w:p w14:paraId="52577D02">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为满足大规模管理运维的要求，在超融合管理平台界面上提供虚拟机删除、开关机、挂起、重启、关闭、关闭电源、克隆、迁移、备份、快照、标签管理等功能，以上功能均支持批量操作。</w:t>
            </w:r>
          </w:p>
        </w:tc>
      </w:tr>
      <w:tr w14:paraId="1486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6FE91733">
            <w:pPr>
              <w:ind w:firstLine="0" w:firstLineChars="0"/>
              <w:jc w:val="center"/>
              <w:rPr>
                <w:rFonts w:ascii="宋体" w:hAnsi="宋体" w:eastAsia="Times New Roman" w:cs="宋体"/>
                <w:kern w:val="0"/>
                <w:szCs w:val="21"/>
              </w:rPr>
            </w:pPr>
          </w:p>
        </w:tc>
        <w:tc>
          <w:tcPr>
            <w:tcW w:w="6480" w:type="dxa"/>
          </w:tcPr>
          <w:p w14:paraId="5A895100">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基本资源监控功能，查看CPU、网络和磁盘已使用实时数据信息，最小监控粒度可达到20s，可以点击告警设置对CPU、网络和磁盘进行占用阈值设置操作，可以以告警通知。</w:t>
            </w:r>
          </w:p>
        </w:tc>
      </w:tr>
      <w:tr w14:paraId="7128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1353CB75">
            <w:pPr>
              <w:ind w:firstLine="0" w:firstLineChars="0"/>
              <w:jc w:val="center"/>
              <w:rPr>
                <w:rFonts w:ascii="宋体" w:hAnsi="宋体" w:eastAsia="Times New Roman" w:cs="宋体"/>
                <w:kern w:val="0"/>
                <w:szCs w:val="21"/>
              </w:rPr>
            </w:pPr>
          </w:p>
        </w:tc>
        <w:tc>
          <w:tcPr>
            <w:tcW w:w="6480" w:type="dxa"/>
          </w:tcPr>
          <w:p w14:paraId="685A2028">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当前数据中心受到勒索病毒勒索的问题较多，或人为误操作等带来的风险较大，数据备份是解决此类问题的有效方式。所以要求平台支持虚拟机定期全量备份、增量备份，并支持静默备份方式确保数据一致性，支持按周、按天、按小时的备份策略</w:t>
            </w:r>
            <w:r>
              <w:rPr>
                <w:rFonts w:hint="eastAsia" w:eastAsia="Times New Roman"/>
              </w:rPr>
              <w:t>。</w:t>
            </w:r>
          </w:p>
        </w:tc>
      </w:tr>
      <w:tr w14:paraId="20C3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2E0B77A3">
            <w:pPr>
              <w:ind w:firstLine="0" w:firstLineChars="0"/>
              <w:jc w:val="center"/>
              <w:rPr>
                <w:rFonts w:ascii="宋体" w:hAnsi="宋体" w:eastAsia="Times New Roman" w:cs="宋体"/>
                <w:kern w:val="0"/>
                <w:szCs w:val="21"/>
              </w:rPr>
            </w:pPr>
          </w:p>
        </w:tc>
        <w:tc>
          <w:tcPr>
            <w:tcW w:w="6480" w:type="dxa"/>
          </w:tcPr>
          <w:p w14:paraId="17F9FA1B">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支持以EXCEL表格的方式导出虚拟机的配置信息，包括名称、IP、CPU内存磁盘配置、使用率信息。</w:t>
            </w:r>
          </w:p>
        </w:tc>
      </w:tr>
      <w:tr w14:paraId="5581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65DB4713">
            <w:pPr>
              <w:ind w:firstLine="0" w:firstLineChars="0"/>
              <w:jc w:val="center"/>
              <w:rPr>
                <w:rFonts w:ascii="宋体" w:hAnsi="宋体" w:eastAsia="Times New Roman" w:cs="宋体"/>
                <w:kern w:val="0"/>
                <w:szCs w:val="21"/>
              </w:rPr>
            </w:pPr>
          </w:p>
        </w:tc>
        <w:tc>
          <w:tcPr>
            <w:tcW w:w="6480" w:type="dxa"/>
          </w:tcPr>
          <w:p w14:paraId="6D0AF688">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支持虚拟机跨集群的虚拟机迁移，支持在不停机的状态下跨集群迁移</w:t>
            </w:r>
          </w:p>
        </w:tc>
      </w:tr>
      <w:tr w14:paraId="5E2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7C79D774">
            <w:pPr>
              <w:ind w:firstLine="0" w:firstLineChars="0"/>
              <w:jc w:val="center"/>
              <w:rPr>
                <w:rFonts w:ascii="宋体" w:hAnsi="宋体" w:eastAsia="Times New Roman" w:cs="宋体"/>
                <w:kern w:val="0"/>
                <w:szCs w:val="21"/>
              </w:rPr>
            </w:pPr>
          </w:p>
        </w:tc>
        <w:tc>
          <w:tcPr>
            <w:tcW w:w="6480" w:type="dxa"/>
          </w:tcPr>
          <w:p w14:paraId="752E82E4">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为了避免某主机RAID卡卡死影响整个集群的业务，一旦发现RAID卡出现卡死状态，平台支持对该主机进行隔离，从而避免对其他主机上的业务系统造成影响。</w:t>
            </w:r>
          </w:p>
        </w:tc>
      </w:tr>
      <w:tr w14:paraId="0CCE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restart"/>
            <w:vAlign w:val="center"/>
          </w:tcPr>
          <w:p w14:paraId="4FBF0233">
            <w:pPr>
              <w:ind w:firstLine="0" w:firstLineChars="0"/>
              <w:jc w:val="center"/>
              <w:rPr>
                <w:rFonts w:ascii="宋体" w:hAnsi="宋体" w:eastAsia="Times New Roman" w:cs="宋体"/>
                <w:kern w:val="0"/>
                <w:szCs w:val="21"/>
              </w:rPr>
            </w:pPr>
            <w:r>
              <w:rPr>
                <w:rFonts w:hint="eastAsia" w:ascii="宋体" w:hAnsi="宋体" w:eastAsia="Times New Roman" w:cs="宋体"/>
                <w:kern w:val="0"/>
                <w:szCs w:val="21"/>
              </w:rPr>
              <w:t>存储虚拟化</w:t>
            </w:r>
          </w:p>
        </w:tc>
        <w:tc>
          <w:tcPr>
            <w:tcW w:w="6480" w:type="dxa"/>
          </w:tcPr>
          <w:p w14:paraId="59BEF3CB">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由于磁盘卡慢盘可能拖累平台性能导致业务卡顿，为保证磁盘健康，当服务器硬件出现HDD卡慢盘时，可以在磁盘管理界面显示并告警，可以对HDD的卡慢盘进行自动隔离。</w:t>
            </w:r>
          </w:p>
        </w:tc>
      </w:tr>
      <w:tr w14:paraId="489E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3B2B4AA7">
            <w:pPr>
              <w:ind w:firstLine="0" w:firstLineChars="0"/>
              <w:jc w:val="center"/>
              <w:rPr>
                <w:rFonts w:ascii="宋体" w:hAnsi="宋体" w:eastAsia="Times New Roman" w:cs="宋体"/>
                <w:kern w:val="0"/>
                <w:szCs w:val="21"/>
              </w:rPr>
            </w:pPr>
          </w:p>
        </w:tc>
        <w:tc>
          <w:tcPr>
            <w:tcW w:w="6480" w:type="dxa"/>
          </w:tcPr>
          <w:p w14:paraId="37A5D7D0">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w:t>
            </w:r>
          </w:p>
        </w:tc>
      </w:tr>
      <w:tr w14:paraId="19EC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2EBE13E2">
            <w:pPr>
              <w:ind w:firstLine="0" w:firstLineChars="0"/>
              <w:jc w:val="center"/>
              <w:rPr>
                <w:rFonts w:ascii="宋体" w:hAnsi="宋体" w:eastAsia="Times New Roman" w:cs="宋体"/>
                <w:kern w:val="0"/>
                <w:szCs w:val="21"/>
              </w:rPr>
            </w:pPr>
          </w:p>
        </w:tc>
        <w:tc>
          <w:tcPr>
            <w:tcW w:w="6480" w:type="dxa"/>
          </w:tcPr>
          <w:p w14:paraId="3C3E5E9E">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为避免存储容量过高对业务性能产生影响，需支持存储容量预测功能，可以在界面查看虚拟存储容量预测信息，通过折线图展示不同时间点存储卷有效裸容量、实际容量的使用、未来预测和告警阈值等信息。</w:t>
            </w:r>
          </w:p>
        </w:tc>
      </w:tr>
      <w:tr w14:paraId="53A1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5556D5CD">
            <w:pPr>
              <w:ind w:firstLine="0" w:firstLineChars="0"/>
              <w:jc w:val="center"/>
              <w:rPr>
                <w:rFonts w:ascii="宋体" w:hAnsi="宋体" w:eastAsia="Times New Roman" w:cs="宋体"/>
                <w:kern w:val="0"/>
                <w:szCs w:val="21"/>
              </w:rPr>
            </w:pPr>
          </w:p>
        </w:tc>
        <w:tc>
          <w:tcPr>
            <w:tcW w:w="6480" w:type="dxa"/>
          </w:tcPr>
          <w:p w14:paraId="49E6A64B">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为满足存储容量使用要求，所投存储产品软件授权应不限制存储容量，可按照CPU数量或服务器数量进行授权。</w:t>
            </w:r>
          </w:p>
        </w:tc>
      </w:tr>
      <w:tr w14:paraId="578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vMerge w:val="continue"/>
          </w:tcPr>
          <w:p w14:paraId="7020E74F">
            <w:pPr>
              <w:ind w:firstLine="0" w:firstLineChars="0"/>
              <w:jc w:val="center"/>
              <w:rPr>
                <w:rFonts w:ascii="宋体" w:hAnsi="宋体" w:eastAsia="Times New Roman" w:cs="宋体"/>
                <w:kern w:val="0"/>
                <w:szCs w:val="21"/>
              </w:rPr>
            </w:pPr>
          </w:p>
        </w:tc>
        <w:tc>
          <w:tcPr>
            <w:tcW w:w="6480" w:type="dxa"/>
          </w:tcPr>
          <w:p w14:paraId="3C4F601E">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采用分布式软件定义存储架构，把所有服务器硬盘组织成一个虚拟存储资源池，提供分布式存储服务，无需独立的元数据及控制器节点。</w:t>
            </w:r>
          </w:p>
        </w:tc>
      </w:tr>
      <w:tr w14:paraId="542F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restart"/>
            <w:vAlign w:val="center"/>
          </w:tcPr>
          <w:p w14:paraId="1FC4C208">
            <w:pPr>
              <w:ind w:firstLine="0" w:firstLineChars="0"/>
              <w:jc w:val="center"/>
              <w:rPr>
                <w:rFonts w:ascii="宋体" w:hAnsi="宋体" w:eastAsia="Times New Roman" w:cs="宋体"/>
                <w:kern w:val="0"/>
                <w:szCs w:val="21"/>
              </w:rPr>
            </w:pPr>
            <w:r>
              <w:rPr>
                <w:rFonts w:hint="eastAsia" w:ascii="宋体" w:hAnsi="宋体" w:eastAsia="Times New Roman" w:cs="宋体"/>
                <w:kern w:val="0"/>
                <w:szCs w:val="21"/>
              </w:rPr>
              <w:t>网络虚拟化</w:t>
            </w:r>
          </w:p>
        </w:tc>
        <w:tc>
          <w:tcPr>
            <w:tcW w:w="6480" w:type="dxa"/>
          </w:tcPr>
          <w:p w14:paraId="6C258169">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可以在网络可视化界面显示两台虚机间的访问流。可以通过分布式防火墙中断访问流并显示通信状态。可以显示所有虚拟机的流量走向与访问关系，包括源对象、源 IP、目标对象、目的IP、访问次数、服务类型、动作。</w:t>
            </w:r>
          </w:p>
        </w:tc>
      </w:tr>
      <w:tr w14:paraId="15BB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3204B79D">
            <w:pPr>
              <w:ind w:firstLine="0" w:firstLineChars="0"/>
              <w:jc w:val="center"/>
              <w:rPr>
                <w:rFonts w:ascii="宋体" w:hAnsi="宋体" w:eastAsia="Times New Roman" w:cs="宋体"/>
                <w:kern w:val="0"/>
                <w:szCs w:val="21"/>
              </w:rPr>
            </w:pPr>
          </w:p>
        </w:tc>
        <w:tc>
          <w:tcPr>
            <w:tcW w:w="6480" w:type="dxa"/>
          </w:tcPr>
          <w:p w14:paraId="584BAC3D">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可以通过拖拽连线完成网络拓扑的构建。可以在网络拓扑页面通过功能键实现虚拟网络连接、开启和关闭等操作。</w:t>
            </w:r>
          </w:p>
        </w:tc>
      </w:tr>
      <w:tr w14:paraId="797A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462B1BBC">
            <w:pPr>
              <w:ind w:firstLine="0" w:firstLineChars="0"/>
              <w:jc w:val="center"/>
              <w:rPr>
                <w:rFonts w:ascii="宋体" w:hAnsi="宋体" w:eastAsia="Times New Roman" w:cs="宋体"/>
                <w:kern w:val="0"/>
                <w:szCs w:val="21"/>
              </w:rPr>
            </w:pPr>
          </w:p>
        </w:tc>
        <w:tc>
          <w:tcPr>
            <w:tcW w:w="6480" w:type="dxa"/>
          </w:tcPr>
          <w:p w14:paraId="5CE4D80A">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为了能够根据实际需求和网络拓扑，灵活地配置和管理防火墙规则，以保护网络和虚拟机的安全，要求支持创建分布式虚拟防火墙，并可基于虚拟机、虚拟机组、虚拟机标签、IP、IP范围、IP组构建安全防火墙。</w:t>
            </w:r>
          </w:p>
        </w:tc>
      </w:tr>
      <w:tr w14:paraId="1DE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2E40E2C9">
            <w:pPr>
              <w:ind w:firstLine="0" w:firstLineChars="0"/>
              <w:jc w:val="center"/>
              <w:rPr>
                <w:rFonts w:ascii="宋体" w:hAnsi="宋体" w:eastAsia="Times New Roman" w:cs="宋体"/>
                <w:kern w:val="0"/>
                <w:szCs w:val="21"/>
              </w:rPr>
            </w:pPr>
          </w:p>
        </w:tc>
        <w:tc>
          <w:tcPr>
            <w:tcW w:w="6480" w:type="dxa"/>
          </w:tcPr>
          <w:p w14:paraId="09DB1D24">
            <w:pPr>
              <w:widowControl/>
              <w:tabs>
                <w:tab w:val="left" w:pos="360"/>
              </w:tabs>
              <w:ind w:firstLine="0" w:firstLineChars="0"/>
              <w:contextualSpacing/>
              <w:jc w:val="left"/>
              <w:rPr>
                <w:rFonts w:ascii="宋体" w:hAnsi="宋体" w:eastAsia="Times New Roman" w:cs="宋体"/>
                <w:szCs w:val="21"/>
              </w:rPr>
            </w:pPr>
            <w:r>
              <w:rPr>
                <w:rFonts w:hint="eastAsia" w:ascii="宋体" w:hAnsi="宋体" w:eastAsia="Times New Roman" w:cs="宋体"/>
                <w:szCs w:val="21"/>
              </w:rPr>
              <w:t>可以点击分布式防火墙中的创建进行创建策略操作。</w:t>
            </w:r>
            <w:r>
              <w:rPr>
                <w:rFonts w:hint="eastAsia" w:ascii="宋体" w:hAnsi="宋体" w:eastAsia="Times New Roman" w:cs="宋体"/>
                <w:szCs w:val="21"/>
              </w:rPr>
              <w:br w:type="textWrapping"/>
            </w:r>
            <w:r>
              <w:rPr>
                <w:rFonts w:hint="eastAsia" w:ascii="宋体" w:hAnsi="宋体" w:eastAsia="Times New Roman" w:cs="宋体"/>
                <w:szCs w:val="21"/>
              </w:rPr>
              <w:t>可以对已创建策略进行设置，包括源、目的和状态等信息。</w:t>
            </w:r>
            <w:r>
              <w:rPr>
                <w:rFonts w:hint="eastAsia" w:ascii="宋体" w:hAnsi="宋体" w:eastAsia="Times New Roman" w:cs="宋体"/>
                <w:szCs w:val="21"/>
              </w:rPr>
              <w:br w:type="textWrapping"/>
            </w:r>
            <w:r>
              <w:rPr>
                <w:rFonts w:hint="eastAsia" w:ascii="宋体" w:hAnsi="宋体" w:eastAsia="Times New Roman" w:cs="宋体"/>
                <w:szCs w:val="21"/>
              </w:rPr>
              <w:t>可以查看已创建的策略列表项信息。</w:t>
            </w:r>
            <w:r>
              <w:rPr>
                <w:rFonts w:hint="eastAsia" w:ascii="宋体" w:hAnsi="宋体" w:eastAsia="Times New Roman" w:cs="宋体"/>
                <w:szCs w:val="21"/>
              </w:rPr>
              <w:br w:type="textWrapping"/>
            </w:r>
            <w:r>
              <w:rPr>
                <w:rFonts w:hint="eastAsia" w:ascii="宋体" w:hAnsi="宋体" w:eastAsia="Times New Roman" w:cs="宋体"/>
                <w:szCs w:val="21"/>
              </w:rPr>
              <w:t>可以点击分布式防火墙中的实时拦截日志跳转到拦截日志和直通页面。</w:t>
            </w:r>
            <w:r>
              <w:rPr>
                <w:rFonts w:hint="eastAsia" w:ascii="宋体" w:hAnsi="宋体" w:eastAsia="Times New Roman" w:cs="宋体"/>
                <w:szCs w:val="21"/>
              </w:rPr>
              <w:br w:type="textWrapping"/>
            </w:r>
            <w:r>
              <w:rPr>
                <w:rFonts w:hint="eastAsia" w:ascii="宋体" w:hAnsi="宋体" w:eastAsia="Times New Roman" w:cs="宋体"/>
                <w:szCs w:val="21"/>
              </w:rPr>
              <w:t>可以进行实时拦截日志操作。</w:t>
            </w:r>
            <w:r>
              <w:rPr>
                <w:rFonts w:hint="eastAsia" w:ascii="宋体" w:hAnsi="宋体" w:eastAsia="Times New Roman" w:cs="宋体"/>
                <w:szCs w:val="21"/>
              </w:rPr>
              <w:br w:type="textWrapping"/>
            </w:r>
            <w:r>
              <w:rPr>
                <w:rFonts w:hint="eastAsia" w:ascii="宋体" w:hAnsi="宋体" w:eastAsia="Times New Roman" w:cs="宋体"/>
                <w:szCs w:val="21"/>
              </w:rPr>
              <w:t>可以查看实时拦截日志列表信息，包括时间、源、IP地址、协议(ICMP)、数据包大小和匹配策略名称。</w:t>
            </w:r>
            <w:r>
              <w:rPr>
                <w:rFonts w:hint="eastAsia" w:ascii="宋体" w:hAnsi="宋体" w:eastAsia="Times New Roman" w:cs="宋体"/>
                <w:szCs w:val="21"/>
              </w:rPr>
              <w:br w:type="textWrapping"/>
            </w:r>
            <w:r>
              <w:rPr>
                <w:rFonts w:hint="eastAsia" w:ascii="宋体" w:hAnsi="宋体" w:eastAsia="Times New Roman" w:cs="宋体"/>
                <w:szCs w:val="21"/>
              </w:rPr>
              <w:t>可以通过开启数据直通临时排查数据流量问题。</w:t>
            </w:r>
            <w:r>
              <w:rPr>
                <w:rFonts w:hint="eastAsia" w:ascii="宋体" w:hAnsi="宋体" w:eastAsia="Times New Roman" w:cs="宋体"/>
                <w:szCs w:val="21"/>
              </w:rPr>
              <w:br w:type="textWrapping"/>
            </w:r>
          </w:p>
        </w:tc>
      </w:tr>
    </w:tbl>
    <w:p w14:paraId="3B8AF100">
      <w:pPr>
        <w:spacing w:line="240" w:lineRule="auto"/>
        <w:ind w:firstLine="0" w:firstLineChars="0"/>
        <w:rPr>
          <w:rFonts w:ascii="Calibri" w:hAnsi="Calibri"/>
          <w:sz w:val="24"/>
        </w:rPr>
      </w:pPr>
    </w:p>
    <w:p w14:paraId="071227C3">
      <w:pPr>
        <w:pStyle w:val="3"/>
        <w:ind w:firstLine="602" w:firstLineChars="200"/>
        <w:sectPr>
          <w:footerReference r:id="rId11" w:type="default"/>
          <w:pgSz w:w="11906" w:h="16838"/>
          <w:pgMar w:top="1247" w:right="1758" w:bottom="1247" w:left="1758" w:header="851" w:footer="851" w:gutter="0"/>
          <w:cols w:space="720" w:num="1"/>
          <w:titlePg/>
          <w:docGrid w:linePitch="312" w:charSpace="0"/>
        </w:sectPr>
      </w:pPr>
    </w:p>
    <w:p w14:paraId="6B889556">
      <w:pPr>
        <w:pStyle w:val="3"/>
        <w:ind w:firstLine="2409" w:firstLineChars="800"/>
        <w:jc w:val="both"/>
        <w:rPr>
          <w:sz w:val="24"/>
        </w:rPr>
      </w:pPr>
      <w:bookmarkStart w:id="20" w:name="_Toc11121"/>
      <w:r>
        <w:t>第三章  投标人须知</w:t>
      </w:r>
      <w:bookmarkEnd w:id="12"/>
      <w:bookmarkEnd w:id="20"/>
      <w:r>
        <w:rPr>
          <w:sz w:val="24"/>
        </w:rPr>
        <w:t>前附表</w:t>
      </w:r>
    </w:p>
    <w:tbl>
      <w:tblPr>
        <w:tblStyle w:val="4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9"/>
        <w:gridCol w:w="7733"/>
      </w:tblGrid>
      <w:tr w14:paraId="3876C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21C62E24">
            <w:pPr>
              <w:ind w:firstLine="0" w:firstLineChars="0"/>
              <w:jc w:val="center"/>
            </w:pPr>
            <w:r>
              <w:t>序号</w:t>
            </w:r>
          </w:p>
        </w:tc>
        <w:tc>
          <w:tcPr>
            <w:tcW w:w="4412" w:type="pct"/>
            <w:tcBorders>
              <w:top w:val="single" w:color="auto" w:sz="4" w:space="0"/>
              <w:left w:val="single" w:color="auto" w:sz="4" w:space="0"/>
              <w:bottom w:val="single" w:color="auto" w:sz="4" w:space="0"/>
              <w:right w:val="single" w:color="auto" w:sz="4" w:space="0"/>
            </w:tcBorders>
            <w:vAlign w:val="center"/>
          </w:tcPr>
          <w:p w14:paraId="2668EC49">
            <w:pPr>
              <w:ind w:firstLine="0" w:firstLineChars="0"/>
              <w:jc w:val="center"/>
            </w:pPr>
            <w:r>
              <w:t>内容、要求</w:t>
            </w:r>
          </w:p>
        </w:tc>
      </w:tr>
      <w:tr w14:paraId="4C897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1D0AC1BB">
            <w:pPr>
              <w:ind w:firstLine="420"/>
            </w:pPr>
            <w:r>
              <w:t>1</w:t>
            </w:r>
          </w:p>
        </w:tc>
        <w:tc>
          <w:tcPr>
            <w:tcW w:w="4412" w:type="pct"/>
            <w:tcBorders>
              <w:top w:val="single" w:color="auto" w:sz="4" w:space="0"/>
              <w:left w:val="single" w:color="auto" w:sz="4" w:space="0"/>
              <w:bottom w:val="single" w:color="auto" w:sz="4" w:space="0"/>
              <w:right w:val="single" w:color="auto" w:sz="4" w:space="0"/>
            </w:tcBorders>
            <w:vAlign w:val="center"/>
          </w:tcPr>
          <w:p w14:paraId="04310CF0">
            <w:pPr>
              <w:ind w:firstLine="0" w:firstLineChars="0"/>
            </w:pPr>
            <w:r>
              <w:rPr>
                <w:rFonts w:hint="eastAsia" w:ascii="宋体" w:hAnsi="宋体" w:cs="宋体"/>
              </w:rPr>
              <w:t>项目名称：</w:t>
            </w:r>
            <w:r>
              <w:rPr>
                <w:rFonts w:hint="eastAsia" w:ascii="宋体" w:hAnsi="宋体" w:eastAsia="Times New Roman" w:cs="宋体"/>
              </w:rPr>
              <w:t>温州金洋集装箱码头有限公司超融合升级扩容</w:t>
            </w:r>
          </w:p>
        </w:tc>
      </w:tr>
      <w:tr w14:paraId="68B61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7E97B2B7">
            <w:pPr>
              <w:ind w:firstLine="0" w:firstLineChars="0"/>
              <w:jc w:val="center"/>
            </w:pPr>
            <w:r>
              <w:t>★2</w:t>
            </w:r>
          </w:p>
        </w:tc>
        <w:tc>
          <w:tcPr>
            <w:tcW w:w="4412" w:type="pct"/>
            <w:tcBorders>
              <w:top w:val="single" w:color="auto" w:sz="4" w:space="0"/>
              <w:left w:val="single" w:color="auto" w:sz="4" w:space="0"/>
              <w:bottom w:val="single" w:color="auto" w:sz="4" w:space="0"/>
              <w:right w:val="single" w:color="auto" w:sz="4" w:space="0"/>
            </w:tcBorders>
            <w:vAlign w:val="center"/>
          </w:tcPr>
          <w:p w14:paraId="31A1B406">
            <w:pPr>
              <w:ind w:firstLine="0" w:firstLineChars="0"/>
            </w:pPr>
            <w:r>
              <w:t>投标报价及费用：</w:t>
            </w:r>
          </w:p>
          <w:p w14:paraId="53643010">
            <w:pPr>
              <w:numPr>
                <w:ilvl w:val="0"/>
                <w:numId w:val="6"/>
              </w:numPr>
              <w:ind w:firstLine="0" w:firstLineChars="0"/>
              <w:rPr>
                <w:rFonts w:ascii="宋体" w:hAnsi="宋体" w:cs="宋体"/>
                <w:szCs w:val="21"/>
              </w:rPr>
            </w:pPr>
            <w:r>
              <w:rPr>
                <w:rFonts w:hint="eastAsia" w:ascii="宋体" w:hAnsi="宋体" w:eastAsia="Times New Roman" w:cs="宋体"/>
                <w:bCs/>
                <w:szCs w:val="21"/>
              </w:rPr>
              <w:t>投标报价</w:t>
            </w:r>
            <w:r>
              <w:rPr>
                <w:rFonts w:hint="eastAsia"/>
              </w:rPr>
              <w:t>主要包含但不限于包括按完成本次采购产品的供货、仓储、运输、装卸、通过验收、质保期服务等各项工作所发生的一切费用，以及税金、包装、保险、技术服务、售后服务、管理等，一切本身和不可或缺的所有工作开支、政策性文件规定及合同包含的所有风险、责任等各项全部费用，实行固定费用总包干。</w:t>
            </w:r>
          </w:p>
          <w:p w14:paraId="74508A88">
            <w:pPr>
              <w:ind w:firstLine="0" w:firstLineChars="0"/>
            </w:pPr>
            <w:r>
              <w:rPr>
                <w:rFonts w:hint="eastAsia"/>
              </w:rPr>
              <w:t>2、不论投标结果如何，投标人均应自行承担所有与投标有关的全部费用。</w:t>
            </w:r>
          </w:p>
          <w:p w14:paraId="1517E62E">
            <w:pPr>
              <w:ind w:firstLine="0" w:firstLineChars="0"/>
              <w:rPr>
                <w:rFonts w:eastAsia="Times New Roman"/>
              </w:rPr>
            </w:pPr>
            <w:r>
              <w:rPr>
                <w:rFonts w:hint="eastAsia" w:ascii="宋体" w:hAnsi="宋体" w:cs="宋体"/>
                <w:b/>
                <w:bCs/>
              </w:rPr>
              <w:t>3、</w:t>
            </w:r>
            <w:r>
              <w:rPr>
                <w:rFonts w:hint="eastAsia" w:ascii="宋体" w:hAnsi="宋体" w:cs="宋体"/>
                <w:b/>
                <w:bCs/>
                <w:szCs w:val="21"/>
              </w:rPr>
              <w:t>本项目最高限价人民币24万元，投标报价超过最高限价的作无效标处理。</w:t>
            </w:r>
          </w:p>
        </w:tc>
      </w:tr>
      <w:tr w14:paraId="18DC2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34518CC3">
            <w:pPr>
              <w:ind w:firstLine="0" w:firstLineChars="0"/>
              <w:jc w:val="center"/>
            </w:pPr>
            <w:r>
              <w:t>★3</w:t>
            </w:r>
          </w:p>
        </w:tc>
        <w:tc>
          <w:tcPr>
            <w:tcW w:w="4412" w:type="pct"/>
            <w:tcBorders>
              <w:top w:val="single" w:color="auto" w:sz="4" w:space="0"/>
              <w:left w:val="single" w:color="auto" w:sz="4" w:space="0"/>
              <w:bottom w:val="single" w:color="auto" w:sz="4" w:space="0"/>
              <w:right w:val="single" w:color="auto" w:sz="4" w:space="0"/>
            </w:tcBorders>
            <w:vAlign w:val="center"/>
          </w:tcPr>
          <w:p w14:paraId="1FC48E37">
            <w:pPr>
              <w:ind w:firstLine="0" w:firstLineChars="0"/>
            </w:pPr>
            <w:r>
              <w:t>投标保证金：</w:t>
            </w:r>
            <w:r>
              <w:rPr>
                <w:rFonts w:hint="eastAsia" w:ascii="宋体" w:hAnsi="宋体" w:cs="宋体"/>
              </w:rPr>
              <w:t>详见第一章招标公告</w:t>
            </w:r>
          </w:p>
        </w:tc>
      </w:tr>
      <w:tr w14:paraId="23F81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2A1590CC">
            <w:pPr>
              <w:ind w:firstLine="0" w:firstLineChars="0"/>
              <w:jc w:val="center"/>
            </w:pPr>
            <w:r>
              <w:t>4</w:t>
            </w:r>
          </w:p>
        </w:tc>
        <w:tc>
          <w:tcPr>
            <w:tcW w:w="4412" w:type="pct"/>
            <w:tcBorders>
              <w:top w:val="single" w:color="auto" w:sz="4" w:space="0"/>
              <w:left w:val="single" w:color="auto" w:sz="4" w:space="0"/>
              <w:bottom w:val="single" w:color="auto" w:sz="4" w:space="0"/>
              <w:right w:val="single" w:color="auto" w:sz="4" w:space="0"/>
            </w:tcBorders>
            <w:vAlign w:val="center"/>
          </w:tcPr>
          <w:p w14:paraId="520A8F1C">
            <w:pPr>
              <w:ind w:firstLine="0" w:firstLineChars="0"/>
            </w:pPr>
            <w:r>
              <w:t>答疑与澄清：招标人对已发出的招标文件进行必要的澄清和修改时，将在招标公告规定的投标截止时间</w:t>
            </w:r>
            <w:r>
              <w:rPr>
                <w:rFonts w:hint="eastAsia"/>
                <w:u w:val="single"/>
              </w:rPr>
              <w:t>10</w:t>
            </w:r>
            <w:r>
              <w:t>日前，在规定信息发布网站上通知所有招标文件收受人，并要求收受人进行确认澄清和修改已收悉，澄清和修改的内容作为招标文件的组成部分。招标人根据实际情况，延长投标截止时间的，将在投标截止时间前</w:t>
            </w:r>
            <w:r>
              <w:rPr>
                <w:rFonts w:hint="eastAsia"/>
              </w:rPr>
              <w:t>3</w:t>
            </w:r>
            <w:r>
              <w:t>日内告知所有招标文件收受人，并要求回执确认。</w:t>
            </w:r>
          </w:p>
        </w:tc>
      </w:tr>
      <w:tr w14:paraId="4CEC4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3F0BD888">
            <w:pPr>
              <w:ind w:firstLine="0" w:firstLineChars="0"/>
              <w:jc w:val="center"/>
            </w:pPr>
            <w:r>
              <w:t>5</w:t>
            </w:r>
          </w:p>
        </w:tc>
        <w:tc>
          <w:tcPr>
            <w:tcW w:w="4412" w:type="pct"/>
            <w:tcBorders>
              <w:top w:val="single" w:color="auto" w:sz="4" w:space="0"/>
              <w:left w:val="single" w:color="auto" w:sz="4" w:space="0"/>
              <w:bottom w:val="single" w:color="auto" w:sz="4" w:space="0"/>
              <w:right w:val="single" w:color="auto" w:sz="4" w:space="0"/>
            </w:tcBorders>
            <w:vAlign w:val="center"/>
          </w:tcPr>
          <w:p w14:paraId="615D8AAB">
            <w:pPr>
              <w:ind w:firstLine="0" w:firstLineChars="0"/>
            </w:pPr>
            <w:r>
              <w:rPr>
                <w:rFonts w:eastAsia="Times New Roman"/>
              </w:rPr>
              <w:t>投标文件组成：资审文件</w:t>
            </w:r>
            <w:r>
              <w:rPr>
                <w:rFonts w:hint="eastAsia" w:eastAsia="Times New Roman"/>
              </w:rPr>
              <w:t>及</w:t>
            </w:r>
            <w:r>
              <w:rPr>
                <w:rFonts w:eastAsia="Times New Roman"/>
              </w:rPr>
              <w:t>商务技术标</w:t>
            </w:r>
            <w:r>
              <w:rPr>
                <w:rFonts w:hint="eastAsia" w:eastAsia="Times New Roman"/>
              </w:rPr>
              <w:t>（第一阶段评审）；</w:t>
            </w:r>
            <w:r>
              <w:rPr>
                <w:rFonts w:eastAsia="Times New Roman"/>
              </w:rPr>
              <w:t>价格标</w:t>
            </w:r>
            <w:r>
              <w:rPr>
                <w:rFonts w:hint="eastAsia" w:eastAsia="Times New Roman"/>
              </w:rPr>
              <w:t>（第二阶段评审）</w:t>
            </w:r>
            <w:r>
              <w:rPr>
                <w:rFonts w:eastAsia="Times New Roman"/>
              </w:rPr>
              <w:t>。</w:t>
            </w:r>
          </w:p>
        </w:tc>
      </w:tr>
      <w:tr w14:paraId="6AC87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444A0CFA">
            <w:pPr>
              <w:ind w:firstLine="0" w:firstLineChars="0"/>
              <w:jc w:val="center"/>
            </w:pPr>
            <w:r>
              <w:t>6</w:t>
            </w:r>
          </w:p>
        </w:tc>
        <w:tc>
          <w:tcPr>
            <w:tcW w:w="7594" w:type="dxa"/>
            <w:tcBorders>
              <w:top w:val="single" w:color="auto" w:sz="4" w:space="0"/>
              <w:left w:val="single" w:color="auto" w:sz="4" w:space="0"/>
              <w:bottom w:val="single" w:color="auto" w:sz="4" w:space="0"/>
              <w:right w:val="single" w:color="auto" w:sz="4" w:space="0"/>
            </w:tcBorders>
            <w:vAlign w:val="center"/>
          </w:tcPr>
          <w:p w14:paraId="082B4BB3">
            <w:pPr>
              <w:snapToGrid w:val="0"/>
              <w:spacing w:line="400" w:lineRule="exact"/>
              <w:ind w:firstLine="0" w:firstLineChars="0"/>
              <w:jc w:val="left"/>
            </w:pPr>
            <w:r>
              <w:rPr>
                <w:rFonts w:hint="eastAsia" w:ascii="宋体" w:hAnsi="宋体" w:cs="宋体"/>
                <w:color w:val="000000"/>
              </w:rPr>
              <w:t>投标截止时间、地点：详见第一章招标公告</w:t>
            </w:r>
          </w:p>
        </w:tc>
      </w:tr>
      <w:tr w14:paraId="2C0DA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7E29E486">
            <w:pPr>
              <w:ind w:firstLine="0" w:firstLineChars="0"/>
              <w:jc w:val="center"/>
            </w:pPr>
            <w:r>
              <w:t>7</w:t>
            </w:r>
          </w:p>
        </w:tc>
        <w:tc>
          <w:tcPr>
            <w:tcW w:w="7594" w:type="dxa"/>
            <w:tcBorders>
              <w:top w:val="single" w:color="auto" w:sz="4" w:space="0"/>
              <w:left w:val="single" w:color="auto" w:sz="4" w:space="0"/>
              <w:bottom w:val="single" w:color="auto" w:sz="4" w:space="0"/>
              <w:right w:val="single" w:color="auto" w:sz="4" w:space="0"/>
            </w:tcBorders>
            <w:vAlign w:val="center"/>
          </w:tcPr>
          <w:p w14:paraId="56BFFF1B">
            <w:pPr>
              <w:snapToGrid w:val="0"/>
              <w:spacing w:line="400" w:lineRule="exact"/>
              <w:ind w:firstLine="0" w:firstLineChars="0"/>
              <w:jc w:val="left"/>
            </w:pPr>
            <w:r>
              <w:rPr>
                <w:rFonts w:hint="eastAsia" w:ascii="宋体" w:hAnsi="宋体" w:cs="宋体"/>
                <w:color w:val="000000"/>
              </w:rPr>
              <w:t>开标时间、地点：详见第一章招标公告</w:t>
            </w:r>
          </w:p>
        </w:tc>
      </w:tr>
      <w:tr w14:paraId="4B7CA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5D768653">
            <w:pPr>
              <w:ind w:firstLine="0" w:firstLineChars="0"/>
              <w:jc w:val="center"/>
            </w:pPr>
            <w:r>
              <w:t>8</w:t>
            </w:r>
          </w:p>
        </w:tc>
        <w:tc>
          <w:tcPr>
            <w:tcW w:w="7594" w:type="dxa"/>
            <w:tcBorders>
              <w:top w:val="single" w:color="auto" w:sz="4" w:space="0"/>
              <w:left w:val="single" w:color="auto" w:sz="4" w:space="0"/>
              <w:bottom w:val="single" w:color="auto" w:sz="4" w:space="0"/>
              <w:right w:val="single" w:color="auto" w:sz="4" w:space="0"/>
            </w:tcBorders>
            <w:vAlign w:val="center"/>
          </w:tcPr>
          <w:p w14:paraId="4DED9A62">
            <w:pPr>
              <w:snapToGrid w:val="0"/>
              <w:spacing w:line="400" w:lineRule="exact"/>
              <w:ind w:firstLine="0" w:firstLineChars="0"/>
              <w:jc w:val="left"/>
            </w:pPr>
            <w:r>
              <w:rPr>
                <w:rFonts w:hint="eastAsia" w:ascii="宋体" w:hAnsi="宋体" w:cs="宋体"/>
                <w:color w:val="000000"/>
              </w:rPr>
              <w:t>评标办法及评分标准：综合评分法，详见第四章。</w:t>
            </w:r>
          </w:p>
        </w:tc>
      </w:tr>
      <w:tr w14:paraId="7169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4D157F2C">
            <w:pPr>
              <w:ind w:firstLine="0" w:firstLineChars="0"/>
              <w:jc w:val="center"/>
            </w:pPr>
            <w:r>
              <w:t>9</w:t>
            </w:r>
          </w:p>
        </w:tc>
        <w:tc>
          <w:tcPr>
            <w:tcW w:w="4412" w:type="pct"/>
            <w:tcBorders>
              <w:top w:val="single" w:color="auto" w:sz="4" w:space="0"/>
              <w:left w:val="single" w:color="auto" w:sz="4" w:space="0"/>
              <w:bottom w:val="single" w:color="auto" w:sz="4" w:space="0"/>
              <w:right w:val="single" w:color="auto" w:sz="4" w:space="0"/>
            </w:tcBorders>
            <w:vAlign w:val="center"/>
          </w:tcPr>
          <w:p w14:paraId="73281DD9">
            <w:pPr>
              <w:ind w:firstLine="0" w:firstLineChars="0"/>
            </w:pPr>
            <w:r>
              <w:t>评标结果公示：评标结束后，评标结果公示于浙江省海港集团、宁波舟山港集团电子招标采购平台（http://hgdzzb.nbport.com.cn/）</w:t>
            </w:r>
            <w:r>
              <w:rPr>
                <w:rFonts w:hint="eastAsia"/>
              </w:rPr>
              <w:t>不少于3日</w:t>
            </w:r>
            <w:r>
              <w:t>。</w:t>
            </w:r>
          </w:p>
        </w:tc>
      </w:tr>
      <w:tr w14:paraId="68C58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7387A735">
            <w:pPr>
              <w:ind w:firstLine="0" w:firstLineChars="0"/>
              <w:jc w:val="center"/>
            </w:pPr>
            <w:r>
              <w:t>10</w:t>
            </w:r>
          </w:p>
        </w:tc>
        <w:tc>
          <w:tcPr>
            <w:tcW w:w="4412" w:type="pct"/>
            <w:tcBorders>
              <w:top w:val="single" w:color="auto" w:sz="4" w:space="0"/>
              <w:left w:val="single" w:color="auto" w:sz="4" w:space="0"/>
              <w:bottom w:val="single" w:color="auto" w:sz="4" w:space="0"/>
              <w:right w:val="single" w:color="auto" w:sz="4" w:space="0"/>
            </w:tcBorders>
            <w:vAlign w:val="center"/>
          </w:tcPr>
          <w:p w14:paraId="19CC6275">
            <w:pPr>
              <w:ind w:firstLine="0" w:firstLineChars="0"/>
            </w:pPr>
            <w:r>
              <w:t>投标保证金退还：除招标文件规定不予退还保证金的情形外，最迟在签署合同后5日内向投标人退还投标保证金。</w:t>
            </w:r>
          </w:p>
        </w:tc>
      </w:tr>
      <w:tr w14:paraId="48ECF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14BCF7C5">
            <w:pPr>
              <w:ind w:firstLine="0" w:firstLineChars="0"/>
              <w:jc w:val="center"/>
            </w:pPr>
            <w:r>
              <w:t>11</w:t>
            </w:r>
          </w:p>
        </w:tc>
        <w:tc>
          <w:tcPr>
            <w:tcW w:w="4412" w:type="pct"/>
            <w:tcBorders>
              <w:top w:val="single" w:color="auto" w:sz="4" w:space="0"/>
              <w:left w:val="single" w:color="auto" w:sz="4" w:space="0"/>
              <w:bottom w:val="single" w:color="auto" w:sz="4" w:space="0"/>
              <w:right w:val="single" w:color="auto" w:sz="4" w:space="0"/>
            </w:tcBorders>
            <w:vAlign w:val="center"/>
          </w:tcPr>
          <w:p w14:paraId="7AC689D6">
            <w:pPr>
              <w:ind w:firstLine="0" w:firstLineChars="0"/>
            </w:pPr>
            <w:r>
              <w:t>签订合同时间：中标通知书发出后30日内。</w:t>
            </w:r>
          </w:p>
        </w:tc>
      </w:tr>
      <w:tr w14:paraId="7EFAF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6CB0E813">
            <w:pPr>
              <w:ind w:firstLine="0" w:firstLineChars="0"/>
              <w:jc w:val="center"/>
            </w:pPr>
            <w:r>
              <w:t>12</w:t>
            </w:r>
          </w:p>
        </w:tc>
        <w:tc>
          <w:tcPr>
            <w:tcW w:w="4412" w:type="pct"/>
            <w:tcBorders>
              <w:top w:val="single" w:color="auto" w:sz="4" w:space="0"/>
              <w:left w:val="single" w:color="auto" w:sz="4" w:space="0"/>
              <w:bottom w:val="single" w:color="auto" w:sz="4" w:space="0"/>
              <w:right w:val="single" w:color="auto" w:sz="4" w:space="0"/>
            </w:tcBorders>
            <w:vAlign w:val="center"/>
          </w:tcPr>
          <w:p w14:paraId="761B09C9">
            <w:pPr>
              <w:ind w:firstLine="0" w:firstLineChars="0"/>
            </w:pPr>
            <w:r>
              <w:t>履约保证金的形式：银行转帐</w:t>
            </w:r>
          </w:p>
          <w:p w14:paraId="58565B70">
            <w:pPr>
              <w:ind w:firstLine="0" w:firstLineChars="0"/>
            </w:pPr>
            <w:r>
              <w:t>履约保证金的金额：合同金额的5%。中标人在合同签订之前须向招标人提交履约保证金，并且要保证履约保证金在合同履行期间的有效性。</w:t>
            </w:r>
          </w:p>
          <w:p w14:paraId="372404F2">
            <w:pPr>
              <w:ind w:firstLine="0" w:firstLineChars="0"/>
            </w:pPr>
            <w:r>
              <w:t>有效期：履约保证金自合同签订之日起至项目验收合格之日止有效，有效期满后自动转为质保金。</w:t>
            </w:r>
          </w:p>
        </w:tc>
      </w:tr>
      <w:tr w14:paraId="0BED2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22E4EA92">
            <w:pPr>
              <w:ind w:firstLine="0" w:firstLineChars="0"/>
              <w:jc w:val="center"/>
            </w:pPr>
            <w:r>
              <w:t>13</w:t>
            </w:r>
          </w:p>
        </w:tc>
        <w:tc>
          <w:tcPr>
            <w:tcW w:w="4412" w:type="pct"/>
            <w:tcBorders>
              <w:top w:val="single" w:color="auto" w:sz="4" w:space="0"/>
              <w:left w:val="single" w:color="auto" w:sz="4" w:space="0"/>
              <w:bottom w:val="single" w:color="auto" w:sz="4" w:space="0"/>
              <w:right w:val="single" w:color="auto" w:sz="4" w:space="0"/>
            </w:tcBorders>
            <w:vAlign w:val="center"/>
          </w:tcPr>
          <w:p w14:paraId="62D3CCEA">
            <w:pPr>
              <w:ind w:firstLine="0" w:firstLineChars="0"/>
            </w:pPr>
            <w:r>
              <w:t>采购资金来源：自筹。</w:t>
            </w:r>
          </w:p>
        </w:tc>
      </w:tr>
      <w:tr w14:paraId="60065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6B5BDA12">
            <w:pPr>
              <w:ind w:firstLine="0" w:firstLineChars="0"/>
              <w:jc w:val="center"/>
            </w:pPr>
            <w:r>
              <w:t>★14</w:t>
            </w:r>
          </w:p>
        </w:tc>
        <w:tc>
          <w:tcPr>
            <w:tcW w:w="4412" w:type="pct"/>
            <w:tcBorders>
              <w:top w:val="single" w:color="auto" w:sz="4" w:space="0"/>
              <w:left w:val="single" w:color="auto" w:sz="4" w:space="0"/>
              <w:bottom w:val="single" w:color="auto" w:sz="4" w:space="0"/>
              <w:right w:val="single" w:color="auto" w:sz="4" w:space="0"/>
            </w:tcBorders>
            <w:vAlign w:val="center"/>
          </w:tcPr>
          <w:p w14:paraId="76A19C15">
            <w:pPr>
              <w:ind w:firstLine="0" w:firstLineChars="0"/>
            </w:pPr>
            <w:r>
              <w:t>投标文件有效期：自投标截止日起60天。</w:t>
            </w:r>
          </w:p>
        </w:tc>
      </w:tr>
      <w:tr w14:paraId="4A5F1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090FAFD3">
            <w:pPr>
              <w:ind w:firstLine="0" w:firstLineChars="0"/>
              <w:jc w:val="center"/>
            </w:pPr>
            <w:r>
              <w:t>★15</w:t>
            </w:r>
          </w:p>
        </w:tc>
        <w:tc>
          <w:tcPr>
            <w:tcW w:w="7733" w:type="dxa"/>
            <w:tcBorders>
              <w:top w:val="single" w:color="auto" w:sz="4" w:space="0"/>
              <w:left w:val="single" w:color="auto" w:sz="4" w:space="0"/>
              <w:bottom w:val="single" w:color="auto" w:sz="4" w:space="0"/>
              <w:right w:val="single" w:color="auto" w:sz="4" w:space="0"/>
            </w:tcBorders>
            <w:vAlign w:val="center"/>
          </w:tcPr>
          <w:p w14:paraId="523E84EB">
            <w:pPr>
              <w:ind w:firstLine="0" w:firstLineChars="0"/>
              <w:rPr>
                <w:rFonts w:eastAsia="Times New Roman"/>
              </w:rPr>
            </w:pPr>
            <w:r>
              <w:rPr>
                <w:rFonts w:eastAsia="Times New Roman"/>
              </w:rPr>
              <w:t>1、本项目采用电子招标形式，需对上线交易项目收取交易服务费， 交易服务费由中标单位承担。</w:t>
            </w:r>
          </w:p>
          <w:p w14:paraId="63A34663">
            <w:pPr>
              <w:ind w:firstLine="0" w:firstLineChars="0"/>
              <w:rPr>
                <w:rFonts w:ascii="宋体" w:hAnsi="宋体" w:cs="宋体"/>
                <w:szCs w:val="21"/>
              </w:rPr>
            </w:pPr>
            <w:r>
              <w:rPr>
                <w:rFonts w:hint="eastAsia" w:ascii="宋体" w:hAnsi="宋体" w:cs="宋体"/>
                <w:szCs w:val="21"/>
              </w:rPr>
              <w:t>2、根据集团相关要求，按新收费标准执行。具体收费标准见下表。</w:t>
            </w:r>
          </w:p>
          <w:p w14:paraId="31BABD1D">
            <w:pPr>
              <w:snapToGrid w:val="0"/>
              <w:spacing w:line="400" w:lineRule="exact"/>
              <w:ind w:firstLine="420"/>
              <w:jc w:val="left"/>
              <w:rPr>
                <w:rFonts w:ascii="宋体" w:hAnsi="宋体" w:cs="宋体"/>
                <w:szCs w:val="21"/>
              </w:rPr>
            </w:pPr>
            <w:r>
              <w:rPr>
                <w:rFonts w:hint="eastAsia" w:ascii="宋体" w:hAnsi="宋体" w:cs="宋体"/>
                <w:szCs w:val="21"/>
              </w:rPr>
              <w:t>附表：</w:t>
            </w:r>
          </w:p>
          <w:p w14:paraId="314CDAE8">
            <w:pPr>
              <w:spacing w:line="400" w:lineRule="exact"/>
              <w:ind w:firstLine="420"/>
              <w:jc w:val="center"/>
              <w:rPr>
                <w:rFonts w:ascii="宋体" w:hAnsi="宋体" w:cs="宋体"/>
                <w:szCs w:val="21"/>
              </w:rPr>
            </w:pPr>
            <w:r>
              <w:rPr>
                <w:rFonts w:hint="eastAsia" w:ascii="宋体" w:hAnsi="宋体" w:cs="宋体"/>
                <w:szCs w:val="21"/>
              </w:rPr>
              <w:t>招标项目交易服务费收取标准（新）</w:t>
            </w:r>
          </w:p>
          <w:tbl>
            <w:tblPr>
              <w:tblStyle w:val="44"/>
              <w:tblW w:w="4999" w:type="pct"/>
              <w:jc w:val="center"/>
              <w:tblLayout w:type="autofit"/>
              <w:tblCellMar>
                <w:top w:w="0" w:type="dxa"/>
                <w:left w:w="108" w:type="dxa"/>
                <w:bottom w:w="0" w:type="dxa"/>
                <w:right w:w="108" w:type="dxa"/>
              </w:tblCellMar>
            </w:tblPr>
            <w:tblGrid>
              <w:gridCol w:w="5237"/>
              <w:gridCol w:w="2278"/>
            </w:tblGrid>
            <w:tr w14:paraId="269982EB">
              <w:tblPrEx>
                <w:tblCellMar>
                  <w:top w:w="0" w:type="dxa"/>
                  <w:left w:w="108" w:type="dxa"/>
                  <w:bottom w:w="0" w:type="dxa"/>
                  <w:right w:w="108" w:type="dxa"/>
                </w:tblCellMar>
              </w:tblPrEx>
              <w:trPr>
                <w:trHeight w:val="88"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3F66547F">
                  <w:pPr>
                    <w:widowControl/>
                    <w:tabs>
                      <w:tab w:val="left" w:pos="1095"/>
                      <w:tab w:val="center" w:pos="2302"/>
                    </w:tabs>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中标价</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5BA9457F">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收费标准（万元）</w:t>
                  </w:r>
                </w:p>
              </w:tc>
            </w:tr>
            <w:tr w14:paraId="18E29E50">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1D74B145">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200万(含)以下</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6852A5D9">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0.1</w:t>
                  </w:r>
                </w:p>
              </w:tc>
            </w:tr>
            <w:tr w14:paraId="057A30E1">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18AAEE38">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200-500万(含)</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40B0C15E">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0.25</w:t>
                  </w:r>
                </w:p>
              </w:tc>
            </w:tr>
            <w:tr w14:paraId="0FD684C9">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698D8B02">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500-1000万(含)</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4A44BE21">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0.75</w:t>
                  </w:r>
                </w:p>
              </w:tc>
            </w:tr>
            <w:tr w14:paraId="5E636063">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403D4259">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1000-2000万(含)</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72E400A8">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1.25</w:t>
                  </w:r>
                </w:p>
              </w:tc>
            </w:tr>
            <w:tr w14:paraId="50CC48F1">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6742A3E3">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2000万—5000万(含)</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0922C09B">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szCs w:val="21"/>
                    </w:rPr>
                    <w:t>1.75</w:t>
                  </w:r>
                </w:p>
              </w:tc>
            </w:tr>
            <w:tr w14:paraId="0148F489">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5EF7D874">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5000万—1亿(含)</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1BEB72B9">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2.5</w:t>
                  </w:r>
                </w:p>
              </w:tc>
            </w:tr>
            <w:tr w14:paraId="495AA9C3">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30B3FF97">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1亿—5亿(含)</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69C8D958">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3.5</w:t>
                  </w:r>
                </w:p>
              </w:tc>
            </w:tr>
            <w:tr w14:paraId="5ADDC25B">
              <w:tblPrEx>
                <w:tblCellMar>
                  <w:top w:w="0" w:type="dxa"/>
                  <w:left w:w="108" w:type="dxa"/>
                  <w:bottom w:w="0" w:type="dxa"/>
                  <w:right w:w="108" w:type="dxa"/>
                </w:tblCellMar>
              </w:tblPrEx>
              <w:trPr>
                <w:trHeight w:val="333"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003C76E5">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5亿—10亿(含)</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55FA6BFA">
                  <w:pPr>
                    <w:widowControl/>
                    <w:snapToGrid w:val="0"/>
                    <w:spacing w:line="400" w:lineRule="exact"/>
                    <w:ind w:firstLine="0" w:firstLineChars="0"/>
                    <w:jc w:val="center"/>
                    <w:textAlignment w:val="center"/>
                    <w:rPr>
                      <w:rFonts w:ascii="宋体" w:hAnsi="宋体" w:cs="宋体"/>
                      <w:szCs w:val="21"/>
                    </w:rPr>
                  </w:pPr>
                  <w:r>
                    <w:rPr>
                      <w:rFonts w:hint="eastAsia" w:ascii="宋体" w:hAnsi="宋体" w:cs="宋体"/>
                      <w:kern w:val="0"/>
                      <w:szCs w:val="21"/>
                    </w:rPr>
                    <w:t>5</w:t>
                  </w:r>
                </w:p>
              </w:tc>
            </w:tr>
            <w:tr w14:paraId="0A7529EF">
              <w:tblPrEx>
                <w:tblCellMar>
                  <w:top w:w="0" w:type="dxa"/>
                  <w:left w:w="108" w:type="dxa"/>
                  <w:bottom w:w="0" w:type="dxa"/>
                  <w:right w:w="108" w:type="dxa"/>
                </w:tblCellMar>
              </w:tblPrEx>
              <w:trPr>
                <w:trHeight w:val="339" w:hRule="atLeast"/>
                <w:jc w:val="center"/>
              </w:trPr>
              <w:tc>
                <w:tcPr>
                  <w:tcW w:w="3484" w:type="pct"/>
                  <w:tcBorders>
                    <w:top w:val="single" w:color="000000" w:sz="4" w:space="0"/>
                    <w:left w:val="single" w:color="000000" w:sz="4" w:space="0"/>
                    <w:bottom w:val="single" w:color="000000" w:sz="4" w:space="0"/>
                    <w:right w:val="single" w:color="000000" w:sz="4" w:space="0"/>
                  </w:tcBorders>
                  <w:vAlign w:val="center"/>
                </w:tcPr>
                <w:p w14:paraId="381FB7DF">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10亿以上</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47268377">
                  <w:pPr>
                    <w:widowControl/>
                    <w:snapToGrid w:val="0"/>
                    <w:spacing w:line="400" w:lineRule="exact"/>
                    <w:ind w:firstLine="0" w:firstLineChars="0"/>
                    <w:jc w:val="center"/>
                    <w:textAlignment w:val="center"/>
                    <w:rPr>
                      <w:rFonts w:ascii="宋体" w:hAnsi="宋体" w:cs="宋体"/>
                      <w:kern w:val="0"/>
                      <w:szCs w:val="21"/>
                    </w:rPr>
                  </w:pPr>
                  <w:r>
                    <w:rPr>
                      <w:rFonts w:hint="eastAsia" w:ascii="宋体" w:hAnsi="宋体" w:cs="宋体"/>
                      <w:kern w:val="0"/>
                      <w:szCs w:val="21"/>
                    </w:rPr>
                    <w:t>6</w:t>
                  </w:r>
                </w:p>
              </w:tc>
            </w:tr>
          </w:tbl>
          <w:p w14:paraId="0A2EE513">
            <w:pPr>
              <w:tabs>
                <w:tab w:val="left" w:pos="310"/>
              </w:tabs>
              <w:snapToGrid w:val="0"/>
              <w:spacing w:line="400" w:lineRule="exact"/>
              <w:ind w:firstLine="420"/>
              <w:jc w:val="left"/>
              <w:rPr>
                <w:rFonts w:ascii="宋体" w:hAnsi="宋体" w:cs="宋体"/>
                <w:szCs w:val="21"/>
              </w:rPr>
            </w:pPr>
            <w:r>
              <w:rPr>
                <w:rFonts w:hint="eastAsia" w:ascii="宋体" w:hAnsi="宋体" w:cs="宋体"/>
                <w:szCs w:val="21"/>
              </w:rPr>
              <w:t>注：</w:t>
            </w:r>
          </w:p>
          <w:p w14:paraId="2F0E1427">
            <w:pPr>
              <w:widowControl/>
              <w:snapToGrid w:val="0"/>
              <w:ind w:firstLine="420"/>
              <w:jc w:val="left"/>
              <w:rPr>
                <w:rFonts w:ascii="宋体" w:hAnsi="宋体" w:cs="宋体"/>
              </w:rPr>
            </w:pPr>
            <w:r>
              <w:rPr>
                <w:rFonts w:hint="eastAsia" w:ascii="宋体" w:hAnsi="宋体" w:cs="宋体"/>
              </w:rPr>
              <w:t>1.交易服务费由中标单位承担。</w:t>
            </w:r>
          </w:p>
          <w:p w14:paraId="783B024B">
            <w:pPr>
              <w:widowControl/>
              <w:snapToGrid w:val="0"/>
              <w:ind w:firstLine="420"/>
              <w:jc w:val="left"/>
              <w:rPr>
                <w:rFonts w:ascii="宋体" w:hAnsi="宋体" w:cs="宋体"/>
              </w:rPr>
            </w:pPr>
            <w:r>
              <w:rPr>
                <w:rFonts w:hint="eastAsia" w:ascii="宋体" w:hAnsi="宋体" w:cs="宋体"/>
              </w:rPr>
              <w:t>2.对于招标服务期在1年以上且按每年报价的项目，交易服务费按1年的中标金额计取。</w:t>
            </w:r>
          </w:p>
          <w:p w14:paraId="420C9A37">
            <w:pPr>
              <w:ind w:firstLine="420"/>
              <w:rPr>
                <w:rFonts w:ascii="宋体" w:hAnsi="宋体" w:cs="宋体"/>
              </w:rPr>
            </w:pPr>
            <w:r>
              <w:rPr>
                <w:rFonts w:hint="eastAsia" w:ascii="宋体" w:hAnsi="宋体" w:cs="宋体"/>
              </w:rPr>
              <w:t>3.对于无具体交易(中标)金额的限额以上招标采购项目参照项目计划金额计取,对于无具体交易(中标)金额的限额以下招标采购项目按每个项目1000元计取，多家中标人费用平摊。</w:t>
            </w:r>
          </w:p>
          <w:p w14:paraId="528F3BBA">
            <w:pPr>
              <w:pStyle w:val="43"/>
              <w:spacing w:line="360" w:lineRule="auto"/>
              <w:ind w:left="0" w:leftChars="0"/>
            </w:pPr>
            <w:r>
              <w:rPr>
                <w:rFonts w:hint="eastAsia" w:ascii="宋体" w:hAnsi="宋体" w:cs="宋体"/>
              </w:rPr>
              <w:t>4.限额以下非招标项目按实际成交价0.2%收取交易服务费，最高不超过500元，5万元以下项目免收交易服务费。</w:t>
            </w:r>
          </w:p>
        </w:tc>
      </w:tr>
      <w:tr w14:paraId="7EE58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0E80004C">
            <w:pPr>
              <w:ind w:firstLine="0" w:firstLineChars="0"/>
              <w:jc w:val="center"/>
              <w:rPr>
                <w:szCs w:val="21"/>
              </w:rPr>
            </w:pPr>
            <w:r>
              <w:t>★</w:t>
            </w:r>
            <w:r>
              <w:rPr>
                <w:szCs w:val="21"/>
              </w:rPr>
              <w:t>16</w:t>
            </w:r>
          </w:p>
        </w:tc>
        <w:tc>
          <w:tcPr>
            <w:tcW w:w="4412" w:type="pct"/>
            <w:tcBorders>
              <w:top w:val="single" w:color="auto" w:sz="4" w:space="0"/>
              <w:left w:val="single" w:color="auto" w:sz="4" w:space="0"/>
              <w:bottom w:val="single" w:color="auto" w:sz="4" w:space="0"/>
              <w:right w:val="single" w:color="auto" w:sz="4" w:space="0"/>
            </w:tcBorders>
            <w:vAlign w:val="center"/>
          </w:tcPr>
          <w:p w14:paraId="00E8FC17">
            <w:pPr>
              <w:ind w:firstLine="0" w:firstLineChars="0"/>
            </w:pPr>
            <w:r>
              <w:rPr>
                <w:rFonts w:hint="eastAsia" w:ascii="宋体" w:hAnsi="宋体" w:eastAsia="Times New Roman" w:cs="宋体"/>
                <w:szCs w:val="21"/>
              </w:rPr>
              <w:t>招标代理服务费：本项目招标服务费由招标人支付。</w:t>
            </w:r>
          </w:p>
        </w:tc>
      </w:tr>
      <w:tr w14:paraId="720E0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526A16D0">
            <w:pPr>
              <w:ind w:firstLine="0" w:firstLineChars="0"/>
              <w:jc w:val="center"/>
            </w:pPr>
            <w:r>
              <w:rPr>
                <w:rFonts w:hint="eastAsia"/>
              </w:rPr>
              <w:t>17</w:t>
            </w:r>
          </w:p>
        </w:tc>
        <w:tc>
          <w:tcPr>
            <w:tcW w:w="4412" w:type="pct"/>
            <w:tcBorders>
              <w:top w:val="single" w:color="auto" w:sz="4" w:space="0"/>
              <w:left w:val="single" w:color="auto" w:sz="4" w:space="0"/>
              <w:bottom w:val="single" w:color="auto" w:sz="4" w:space="0"/>
              <w:right w:val="single" w:color="auto" w:sz="4" w:space="0"/>
            </w:tcBorders>
            <w:vAlign w:val="center"/>
          </w:tcPr>
          <w:p w14:paraId="45DC015A">
            <w:pPr>
              <w:ind w:firstLine="0" w:firstLineChars="0"/>
              <w:rPr>
                <w:rFonts w:ascii="宋体" w:hAnsi="宋体" w:cs="宋体"/>
                <w:szCs w:val="21"/>
              </w:rPr>
            </w:pPr>
            <w:r>
              <w:rPr>
                <w:rFonts w:hint="eastAsia" w:ascii="宋体" w:hAnsi="宋体" w:cs="宋体"/>
                <w:szCs w:val="21"/>
              </w:rPr>
              <w:t>本项目</w:t>
            </w:r>
            <w:r>
              <w:rPr>
                <w:rStyle w:val="47"/>
                <w:rFonts w:hint="eastAsia" w:ascii="宋体" w:hAnsi="宋体" w:cs="宋体"/>
                <w:b w:val="0"/>
                <w:bCs w:val="0"/>
                <w:color w:val="000000"/>
                <w:szCs w:val="21"/>
              </w:rPr>
              <w:t>不统一组织现场踏勘</w:t>
            </w:r>
            <w:r>
              <w:rPr>
                <w:rFonts w:hint="eastAsia" w:ascii="宋体" w:hAnsi="宋体" w:cs="宋体"/>
                <w:szCs w:val="21"/>
              </w:rPr>
              <w:t>，投标人可在获取招标文件后</w:t>
            </w:r>
            <w:r>
              <w:rPr>
                <w:rStyle w:val="47"/>
                <w:rFonts w:hint="eastAsia" w:ascii="宋体" w:hAnsi="宋体" w:cs="宋体"/>
                <w:b w:val="0"/>
                <w:bCs w:val="0"/>
                <w:color w:val="000000"/>
                <w:szCs w:val="21"/>
              </w:rPr>
              <w:t>自行前往项目现场实地考察</w:t>
            </w:r>
            <w:r>
              <w:rPr>
                <w:rFonts w:hint="eastAsia" w:ascii="宋体" w:hAnsi="宋体" w:cs="宋体"/>
                <w:szCs w:val="21"/>
              </w:rPr>
              <w:t>；投标人</w:t>
            </w:r>
            <w:r>
              <w:rPr>
                <w:rStyle w:val="47"/>
                <w:rFonts w:hint="eastAsia" w:ascii="宋体" w:hAnsi="宋体" w:cs="宋体"/>
                <w:b w:val="0"/>
                <w:bCs w:val="0"/>
                <w:color w:val="000000"/>
                <w:szCs w:val="21"/>
              </w:rPr>
              <w:t>未自行踏勘现场所产生的一切风险、责任及疑问，均由</w:t>
            </w:r>
            <w:r>
              <w:rPr>
                <w:rFonts w:hint="eastAsia" w:ascii="宋体" w:hAnsi="宋体" w:cs="宋体"/>
                <w:szCs w:val="21"/>
              </w:rPr>
              <w:t>投标人</w:t>
            </w:r>
            <w:r>
              <w:rPr>
                <w:rStyle w:val="47"/>
                <w:rFonts w:hint="eastAsia" w:ascii="宋体" w:hAnsi="宋体" w:cs="宋体"/>
                <w:b w:val="0"/>
                <w:bCs w:val="0"/>
                <w:color w:val="000000"/>
                <w:szCs w:val="21"/>
              </w:rPr>
              <w:t>自行承担</w:t>
            </w:r>
            <w:r>
              <w:rPr>
                <w:rFonts w:hint="eastAsia" w:ascii="宋体" w:hAnsi="宋体" w:cs="宋体"/>
                <w:szCs w:val="21"/>
              </w:rPr>
              <w:t>，采购人不承担任何解释及补偿责任，投标人不得以此为由提出异议、质疑或索赔。联系人：陈先生，联系方式：0577-62677821，地址：浙江省乐清市柳市镇七里港。</w:t>
            </w:r>
          </w:p>
        </w:tc>
      </w:tr>
      <w:tr w14:paraId="6AC1A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14:paraId="3F1FA337">
            <w:pPr>
              <w:ind w:firstLine="0" w:firstLineChars="0"/>
              <w:jc w:val="center"/>
              <w:rPr>
                <w:szCs w:val="21"/>
              </w:rPr>
            </w:pPr>
            <w:r>
              <w:rPr>
                <w:szCs w:val="21"/>
              </w:rPr>
              <w:t>1</w:t>
            </w:r>
            <w:r>
              <w:rPr>
                <w:rFonts w:hint="eastAsia"/>
                <w:szCs w:val="21"/>
              </w:rPr>
              <w:t>8</w:t>
            </w:r>
          </w:p>
        </w:tc>
        <w:tc>
          <w:tcPr>
            <w:tcW w:w="4412" w:type="pct"/>
            <w:tcBorders>
              <w:top w:val="single" w:color="auto" w:sz="4" w:space="0"/>
              <w:left w:val="single" w:color="auto" w:sz="4" w:space="0"/>
              <w:bottom w:val="single" w:color="auto" w:sz="4" w:space="0"/>
              <w:right w:val="single" w:color="auto" w:sz="4" w:space="0"/>
            </w:tcBorders>
            <w:vAlign w:val="center"/>
          </w:tcPr>
          <w:p w14:paraId="1C9EBA08">
            <w:pPr>
              <w:spacing w:line="380" w:lineRule="exact"/>
              <w:ind w:firstLine="0" w:firstLineChars="0"/>
              <w:rPr>
                <w:kern w:val="58"/>
                <w:szCs w:val="21"/>
              </w:rPr>
            </w:pPr>
            <w:r>
              <w:rPr>
                <w:szCs w:val="21"/>
              </w:rPr>
              <w:t>解释：本招标文件的解释权属于招标人。</w:t>
            </w:r>
          </w:p>
        </w:tc>
      </w:tr>
    </w:tbl>
    <w:p w14:paraId="4FC29459">
      <w:pPr>
        <w:pStyle w:val="4"/>
        <w:spacing w:before="156"/>
        <w:rPr>
          <w:b w:val="0"/>
          <w:color w:val="auto"/>
          <w:sz w:val="21"/>
        </w:rPr>
      </w:pPr>
      <w:r>
        <w:rPr>
          <w:color w:val="auto"/>
        </w:rPr>
        <w:br w:type="page"/>
      </w:r>
      <w:r>
        <w:rPr>
          <w:bCs/>
          <w:color w:val="auto"/>
          <w:szCs w:val="24"/>
        </w:rPr>
        <w:t>一、总  则</w:t>
      </w:r>
    </w:p>
    <w:p w14:paraId="430A8A36">
      <w:pPr>
        <w:keepNext/>
        <w:keepLines/>
        <w:ind w:firstLine="422"/>
        <w:outlineLvl w:val="2"/>
        <w:rPr>
          <w:b/>
          <w:kern w:val="0"/>
        </w:rPr>
      </w:pPr>
      <w:r>
        <w:rPr>
          <w:b/>
          <w:kern w:val="0"/>
        </w:rPr>
        <w:t>（一）适用范围</w:t>
      </w:r>
    </w:p>
    <w:p w14:paraId="51B68DAD">
      <w:pPr>
        <w:ind w:firstLine="420"/>
      </w:pPr>
      <w:r>
        <w:t>本招标文件适用于</w:t>
      </w:r>
      <w:r>
        <w:rPr>
          <w:rFonts w:hint="eastAsia"/>
        </w:rPr>
        <w:t>温州金洋集装箱码头有限公司超融合升级扩容</w:t>
      </w:r>
      <w:r>
        <w:t>的招标、投标、评标、定标、验收、合同履约、付款等行为（法律、法规另有规定的，从其规定）。</w:t>
      </w:r>
    </w:p>
    <w:p w14:paraId="061EC8B6">
      <w:pPr>
        <w:keepNext/>
        <w:keepLines/>
        <w:ind w:firstLine="422"/>
        <w:outlineLvl w:val="2"/>
        <w:rPr>
          <w:b/>
          <w:kern w:val="0"/>
        </w:rPr>
      </w:pPr>
      <w:r>
        <w:rPr>
          <w:b/>
          <w:kern w:val="0"/>
        </w:rPr>
        <w:t>（二）定义</w:t>
      </w:r>
    </w:p>
    <w:p w14:paraId="1825D72F">
      <w:pPr>
        <w:ind w:firstLine="420"/>
      </w:pPr>
      <w:r>
        <w:t>1. “招标人”系指组织本次招标的单位。</w:t>
      </w:r>
    </w:p>
    <w:p w14:paraId="683FA4CE">
      <w:pPr>
        <w:ind w:firstLine="420"/>
      </w:pPr>
      <w:r>
        <w:t>2. “投标人”系指向招标人提交投标文件的单位。</w:t>
      </w:r>
    </w:p>
    <w:p w14:paraId="7EFC377C">
      <w:pPr>
        <w:ind w:firstLine="420"/>
      </w:pPr>
      <w:r>
        <w:t>3. “产品”系指供方按招标文件规定，须向招标人提供的一切货物、设备、保险、税金、基础数据、工具、手册及其他有关技术资料和材料。</w:t>
      </w:r>
    </w:p>
    <w:p w14:paraId="41E53B2E">
      <w:pPr>
        <w:ind w:firstLine="420"/>
      </w:pPr>
      <w:r>
        <w:t>4. “服务”系指招标文件规定投标人须承担的安装、调试、技术协助、培训、技术指导以及其他类似的义务。</w:t>
      </w:r>
    </w:p>
    <w:p w14:paraId="6BA24D1C">
      <w:pPr>
        <w:ind w:firstLine="420"/>
      </w:pPr>
      <w:r>
        <w:t>5. “项目”系指投标人按招标文件规定向招标人提供的产品及服务。</w:t>
      </w:r>
    </w:p>
    <w:p w14:paraId="26221C90">
      <w:pPr>
        <w:ind w:firstLine="420"/>
      </w:pPr>
      <w:r>
        <w:t>6. “书面形式”包括信函、传真、电子邮件等。</w:t>
      </w:r>
    </w:p>
    <w:p w14:paraId="357D4DCA">
      <w:pPr>
        <w:ind w:firstLine="422"/>
        <w:rPr>
          <w:b/>
          <w:bCs/>
        </w:rPr>
      </w:pPr>
      <w:r>
        <w:rPr>
          <w:b/>
          <w:bCs/>
        </w:rPr>
        <w:t>7. 带“★”条款系指实质性要求条款。</w:t>
      </w:r>
    </w:p>
    <w:p w14:paraId="356F5F08">
      <w:pPr>
        <w:keepNext/>
        <w:keepLines/>
        <w:ind w:firstLine="422"/>
        <w:outlineLvl w:val="2"/>
        <w:rPr>
          <w:b/>
          <w:kern w:val="0"/>
        </w:rPr>
      </w:pPr>
      <w:r>
        <w:rPr>
          <w:b/>
          <w:kern w:val="0"/>
        </w:rPr>
        <w:t>（三）招标方式</w:t>
      </w:r>
    </w:p>
    <w:p w14:paraId="02F74BEB">
      <w:pPr>
        <w:ind w:firstLine="420"/>
      </w:pPr>
      <w:r>
        <w:t>本次招标采用公开招标方式进行。</w:t>
      </w:r>
    </w:p>
    <w:p w14:paraId="435ACB11">
      <w:pPr>
        <w:keepNext/>
        <w:keepLines/>
        <w:ind w:firstLine="422"/>
        <w:outlineLvl w:val="2"/>
        <w:rPr>
          <w:b/>
          <w:kern w:val="0"/>
        </w:rPr>
      </w:pPr>
      <w:r>
        <w:rPr>
          <w:b/>
          <w:kern w:val="0"/>
        </w:rPr>
        <w:t>（四）投标委托</w:t>
      </w:r>
    </w:p>
    <w:p w14:paraId="7A93BAAF">
      <w:pPr>
        <w:ind w:firstLine="420"/>
      </w:pPr>
      <w:r>
        <w:t>投标人代表须提供有效身份证件。如投标人代表不是法定代表人，须有法定代表人出具的授权委托书。</w:t>
      </w:r>
    </w:p>
    <w:p w14:paraId="0E2A7A5D">
      <w:pPr>
        <w:keepNext/>
        <w:keepLines/>
        <w:ind w:firstLine="422"/>
        <w:outlineLvl w:val="2"/>
        <w:rPr>
          <w:b/>
          <w:kern w:val="0"/>
        </w:rPr>
      </w:pPr>
      <w:r>
        <w:rPr>
          <w:b/>
          <w:kern w:val="0"/>
        </w:rPr>
        <w:t>（五）投标费用</w:t>
      </w:r>
    </w:p>
    <w:p w14:paraId="328895BC">
      <w:pPr>
        <w:ind w:firstLine="420"/>
        <w:rPr>
          <w:szCs w:val="21"/>
        </w:rPr>
      </w:pPr>
      <w:r>
        <w:t>不论投标结果如何，投标人均应自行承担所有与投标有关的全部费用（招标文件有相关规定除外）。</w:t>
      </w:r>
    </w:p>
    <w:p w14:paraId="124924CA">
      <w:pPr>
        <w:keepNext/>
        <w:keepLines/>
        <w:ind w:firstLine="422"/>
        <w:outlineLvl w:val="2"/>
        <w:rPr>
          <w:b/>
          <w:kern w:val="0"/>
        </w:rPr>
      </w:pPr>
      <w:r>
        <w:rPr>
          <w:b/>
          <w:kern w:val="0"/>
        </w:rPr>
        <w:t>（六）联合体投标</w:t>
      </w:r>
    </w:p>
    <w:p w14:paraId="4B5C4CA7">
      <w:pPr>
        <w:ind w:firstLine="420"/>
      </w:pPr>
      <w:r>
        <w:t>本项目不接受联合体投标。</w:t>
      </w:r>
    </w:p>
    <w:p w14:paraId="53BDCCC4">
      <w:pPr>
        <w:keepNext/>
        <w:keepLines/>
        <w:ind w:firstLine="422"/>
        <w:outlineLvl w:val="2"/>
        <w:rPr>
          <w:b/>
          <w:kern w:val="0"/>
        </w:rPr>
      </w:pPr>
      <w:r>
        <w:rPr>
          <w:b/>
          <w:kern w:val="0"/>
        </w:rPr>
        <w:t>（七）转包</w:t>
      </w:r>
    </w:p>
    <w:p w14:paraId="518B4D65">
      <w:pPr>
        <w:ind w:firstLine="420"/>
        <w:rPr>
          <w:kern w:val="0"/>
          <w:szCs w:val="21"/>
        </w:rPr>
      </w:pPr>
      <w:r>
        <w:t xml:space="preserve"> ★</w:t>
      </w:r>
      <w:r>
        <w:rPr>
          <w:kern w:val="0"/>
          <w:szCs w:val="21"/>
        </w:rPr>
        <w:t>本项目不允许转包</w:t>
      </w:r>
      <w:r>
        <w:rPr>
          <w:rFonts w:hint="eastAsia"/>
          <w:kern w:val="0"/>
          <w:szCs w:val="21"/>
        </w:rPr>
        <w:t>和</w:t>
      </w:r>
      <w:r>
        <w:rPr>
          <w:rFonts w:hint="eastAsia"/>
        </w:rPr>
        <w:t>违法分包</w:t>
      </w:r>
      <w:r>
        <w:rPr>
          <w:kern w:val="0"/>
          <w:szCs w:val="21"/>
        </w:rPr>
        <w:t>。</w:t>
      </w:r>
    </w:p>
    <w:p w14:paraId="0ED2D739">
      <w:pPr>
        <w:keepNext/>
        <w:keepLines/>
        <w:ind w:firstLine="422"/>
        <w:outlineLvl w:val="2"/>
        <w:rPr>
          <w:b/>
          <w:kern w:val="0"/>
        </w:rPr>
      </w:pPr>
      <w:r>
        <w:rPr>
          <w:b/>
          <w:kern w:val="0"/>
        </w:rPr>
        <w:t>（八）特别说明：</w:t>
      </w:r>
    </w:p>
    <w:p w14:paraId="1BD1C35A">
      <w:pPr>
        <w:ind w:firstLine="422"/>
        <w:rPr>
          <w:b/>
          <w:bCs/>
        </w:rPr>
      </w:pPr>
      <w:r>
        <w:rPr>
          <w:b/>
          <w:bCs/>
        </w:rPr>
        <w:t>1. 本项目不属于依法必须招标项目，也不属于政府采购项目。</w:t>
      </w:r>
    </w:p>
    <w:p w14:paraId="0241ABE4">
      <w:pPr>
        <w:ind w:firstLine="422"/>
        <w:rPr>
          <w:b/>
          <w:bCs/>
        </w:rPr>
      </w:pPr>
      <w:r>
        <w:rPr>
          <w:b/>
          <w:bCs/>
        </w:rPr>
        <w:t>★2. 投标人应仔细阅读招标文件的所有内容，按照招标文件的要求提交投标文件，并对所提供的全部资料的真实性承担法律责任。</w:t>
      </w:r>
    </w:p>
    <w:p w14:paraId="01927CF3">
      <w:pPr>
        <w:keepNext/>
        <w:keepLines/>
        <w:ind w:firstLine="422"/>
        <w:outlineLvl w:val="2"/>
        <w:rPr>
          <w:b/>
          <w:kern w:val="0"/>
        </w:rPr>
      </w:pPr>
      <w:r>
        <w:rPr>
          <w:b/>
          <w:kern w:val="0"/>
        </w:rPr>
        <w:t>（九）异议和投诉</w:t>
      </w:r>
    </w:p>
    <w:p w14:paraId="2B264D63">
      <w:pPr>
        <w:ind w:firstLine="420"/>
      </w:pPr>
      <w:r>
        <w:t>1.</w:t>
      </w:r>
      <w:r>
        <w:rPr>
          <w:rFonts w:hint="eastAsia"/>
        </w:rPr>
        <w:t xml:space="preserve"> </w:t>
      </w:r>
      <w:r>
        <w:t>投标人对招标文件有异议的，应当在投标截止时间</w:t>
      </w:r>
      <w:r>
        <w:rPr>
          <w:rFonts w:hint="eastAsia"/>
        </w:rPr>
        <w:t>3</w:t>
      </w:r>
      <w:r>
        <w:t>日前提出；投标人对评标结果有异议的，应当在</w:t>
      </w:r>
      <w:r>
        <w:rPr>
          <w:rFonts w:hint="eastAsia"/>
        </w:rPr>
        <w:t>评标结果</w:t>
      </w:r>
      <w:r>
        <w:t>公示期间提出</w:t>
      </w:r>
      <w:r>
        <w:rPr>
          <w:rFonts w:hint="eastAsia"/>
        </w:rPr>
        <w:t>，</w:t>
      </w:r>
      <w:r>
        <w:t>逾期不予受理。</w:t>
      </w:r>
    </w:p>
    <w:p w14:paraId="6F244423">
      <w:pPr>
        <w:ind w:firstLine="420"/>
      </w:pPr>
      <w:r>
        <w:t>2.</w:t>
      </w:r>
      <w:r>
        <w:rPr>
          <w:rFonts w:hint="eastAsia"/>
        </w:rPr>
        <w:t xml:space="preserve"> </w:t>
      </w:r>
      <w:r>
        <w:t>异议应当在浙江海港电子招标采购平台上提出，投诉应当以书面形式提出。异议书、投诉书均应明确阐述招标文件、招标过程或中标结果中使自己合法权益受到损害的实质性内容，提供相关事实、依据和证据及其来源或线索，便于有关单位调查、答复和处理。</w:t>
      </w:r>
    </w:p>
    <w:p w14:paraId="4021900E">
      <w:pPr>
        <w:snapToGrid w:val="0"/>
        <w:spacing w:before="156" w:beforeLines="50"/>
        <w:ind w:firstLine="0" w:firstLineChars="0"/>
        <w:outlineLvl w:val="1"/>
        <w:rPr>
          <w:b/>
          <w:bCs/>
          <w:sz w:val="24"/>
        </w:rPr>
      </w:pPr>
      <w:r>
        <w:rPr>
          <w:b/>
          <w:bCs/>
          <w:sz w:val="24"/>
        </w:rPr>
        <w:t>二、招标文件</w:t>
      </w:r>
    </w:p>
    <w:p w14:paraId="7DE6B0F7">
      <w:pPr>
        <w:keepNext/>
        <w:keepLines/>
        <w:ind w:firstLine="422"/>
        <w:outlineLvl w:val="2"/>
        <w:rPr>
          <w:b/>
          <w:kern w:val="0"/>
        </w:rPr>
      </w:pPr>
      <w:r>
        <w:rPr>
          <w:b/>
          <w:kern w:val="0"/>
        </w:rPr>
        <w:t>（一）招标文件的构成。本招标文件由以下部分组成：</w:t>
      </w:r>
    </w:p>
    <w:p w14:paraId="094D6389">
      <w:pPr>
        <w:ind w:firstLine="420"/>
      </w:pPr>
      <w:r>
        <w:t>1. 招标公告</w:t>
      </w:r>
    </w:p>
    <w:p w14:paraId="5FD5802B">
      <w:pPr>
        <w:ind w:firstLine="420"/>
      </w:pPr>
      <w:r>
        <w:t>2. 招标需求</w:t>
      </w:r>
    </w:p>
    <w:p w14:paraId="6196806D">
      <w:pPr>
        <w:ind w:firstLine="420"/>
      </w:pPr>
      <w:r>
        <w:t>3. 投标人须知</w:t>
      </w:r>
    </w:p>
    <w:p w14:paraId="25689657">
      <w:pPr>
        <w:ind w:firstLine="420"/>
      </w:pPr>
      <w:r>
        <w:t>4. 评标办法及评分标准</w:t>
      </w:r>
    </w:p>
    <w:p w14:paraId="45DD8757">
      <w:pPr>
        <w:ind w:firstLine="420"/>
      </w:pPr>
      <w:r>
        <w:t>5. 合同条款</w:t>
      </w:r>
    </w:p>
    <w:p w14:paraId="5EF848C7">
      <w:pPr>
        <w:ind w:firstLine="420"/>
      </w:pPr>
      <w:r>
        <w:t>6. 投标文件格式</w:t>
      </w:r>
    </w:p>
    <w:p w14:paraId="4E9F2149">
      <w:pPr>
        <w:ind w:firstLine="420"/>
      </w:pPr>
      <w:r>
        <w:t>7. 本项目招标文件的澄清、答复、修改、补充的内容</w:t>
      </w:r>
    </w:p>
    <w:p w14:paraId="6F1FDE1A">
      <w:pPr>
        <w:keepNext/>
        <w:keepLines/>
        <w:ind w:firstLine="422"/>
        <w:outlineLvl w:val="2"/>
        <w:rPr>
          <w:b/>
          <w:kern w:val="0"/>
        </w:rPr>
      </w:pPr>
      <w:r>
        <w:rPr>
          <w:b/>
          <w:kern w:val="0"/>
        </w:rPr>
        <w:t>（二）投标人的风险</w:t>
      </w:r>
    </w:p>
    <w:p w14:paraId="0492098D">
      <w:pPr>
        <w:ind w:firstLine="420"/>
      </w:pPr>
      <w:r>
        <w:t>投标人没有按照招标文件要求提供全部资料，或者投标人没有对招标文件在各方面作出实质性响应是投标人的风险，并可能导致其投标被拒绝。</w:t>
      </w:r>
    </w:p>
    <w:p w14:paraId="6FC4950B">
      <w:pPr>
        <w:keepNext/>
        <w:keepLines/>
        <w:ind w:firstLine="422"/>
        <w:outlineLvl w:val="2"/>
        <w:rPr>
          <w:b/>
          <w:kern w:val="0"/>
        </w:rPr>
      </w:pPr>
      <w:r>
        <w:rPr>
          <w:b/>
          <w:kern w:val="0"/>
        </w:rPr>
        <w:t>（三）招标文件的澄清与修改</w:t>
      </w:r>
    </w:p>
    <w:p w14:paraId="3286B12E">
      <w:pPr>
        <w:ind w:firstLine="420"/>
      </w:pPr>
      <w:r>
        <w:t>1. 招标人对已发出的招标文件进行必要的澄清和修改时，将在招标公告规定的投标截止时间10日前，在规定信息发布网站上通知所有招标文件收受人，并要求收受人经确认澄清和修改已收悉，澄清和修改的内容作为招标文件的组成部分。招标人根据实际情况，延长投标截止时间的，将在投标截止时间前</w:t>
      </w:r>
      <w:r>
        <w:rPr>
          <w:rFonts w:hint="eastAsia"/>
        </w:rPr>
        <w:t>3</w:t>
      </w:r>
      <w:r>
        <w:t>日内告知所有招标文件收受人，并要求回执确认。</w:t>
      </w:r>
    </w:p>
    <w:p w14:paraId="4066E655">
      <w:pPr>
        <w:ind w:firstLine="420"/>
      </w:pPr>
      <w:r>
        <w:t xml:space="preserve">2. </w:t>
      </w:r>
      <w:r>
        <w:rPr>
          <w:rFonts w:hint="eastAsia"/>
        </w:rPr>
        <w:t>获取</w:t>
      </w:r>
      <w:r>
        <w:t>招标文件的潜在投标人对招标文件有异议，应在投标截</w:t>
      </w:r>
      <w:r>
        <w:rPr>
          <w:highlight w:val="none"/>
        </w:rPr>
        <w:t>止时间</w:t>
      </w:r>
      <w:r>
        <w:rPr>
          <w:rFonts w:hint="eastAsia"/>
          <w:highlight w:val="none"/>
          <w:lang w:eastAsia="zh-CN"/>
        </w:rPr>
        <w:t>1</w:t>
      </w:r>
      <w:r>
        <w:rPr>
          <w:rFonts w:hint="eastAsia"/>
          <w:highlight w:val="none"/>
          <w:lang w:val="en-US" w:eastAsia="zh-CN"/>
        </w:rPr>
        <w:t>0</w:t>
      </w:r>
      <w:r>
        <w:rPr>
          <w:highlight w:val="none"/>
        </w:rPr>
        <w:t>日前书面提</w:t>
      </w:r>
      <w:r>
        <w:t>出。逾期提出的将不予受理。对招标文件的异议应有法定代表人或其授权代表签章，并盖投标人公章并注明日期。</w:t>
      </w:r>
    </w:p>
    <w:p w14:paraId="1019C365">
      <w:pPr>
        <w:ind w:firstLine="420"/>
      </w:pPr>
      <w:r>
        <w:t>3. 没有提出异议且又参与了该项目投标的投标人将被视为完全认同招标文件。</w:t>
      </w:r>
    </w:p>
    <w:p w14:paraId="08BAEB37">
      <w:pPr>
        <w:snapToGrid w:val="0"/>
        <w:spacing w:before="156" w:beforeLines="50"/>
        <w:ind w:firstLine="0" w:firstLineChars="0"/>
        <w:outlineLvl w:val="1"/>
        <w:rPr>
          <w:b/>
          <w:sz w:val="24"/>
          <w:szCs w:val="21"/>
        </w:rPr>
      </w:pPr>
      <w:r>
        <w:rPr>
          <w:b/>
          <w:sz w:val="24"/>
          <w:szCs w:val="21"/>
        </w:rPr>
        <w:t>三、投标文件的编制</w:t>
      </w:r>
    </w:p>
    <w:p w14:paraId="697B0431">
      <w:pPr>
        <w:keepNext/>
        <w:keepLines/>
        <w:ind w:firstLine="422"/>
        <w:outlineLvl w:val="2"/>
        <w:rPr>
          <w:b/>
          <w:kern w:val="0"/>
        </w:rPr>
      </w:pPr>
      <w:r>
        <w:rPr>
          <w:b/>
          <w:kern w:val="0"/>
        </w:rPr>
        <w:t>（一）投标文件目录：未提供格式部分由投标人自拟</w:t>
      </w:r>
    </w:p>
    <w:p w14:paraId="6BDA26EA">
      <w:pPr>
        <w:ind w:firstLine="420"/>
        <w:rPr>
          <w:szCs w:val="21"/>
        </w:rPr>
      </w:pPr>
      <w:r>
        <w:rPr>
          <w:szCs w:val="21"/>
        </w:rPr>
        <w:t>投标文件分为价格标、商务技术标、资审文件三部分</w:t>
      </w:r>
      <w:r>
        <w:rPr>
          <w:rFonts w:hint="eastAsia"/>
          <w:szCs w:val="21"/>
        </w:rPr>
        <w:t>，</w:t>
      </w:r>
      <w:r>
        <w:rPr>
          <w:szCs w:val="21"/>
        </w:rPr>
        <w:t>投标人应分别编制、上传各部分内容，商务技术标、资审文件不得出现本项目的“价格标”内容及投标报价，否则作无效标处理。</w:t>
      </w:r>
    </w:p>
    <w:p w14:paraId="79613876">
      <w:pPr>
        <w:ind w:firstLine="420"/>
        <w:rPr>
          <w:lang w:val="zh-CN"/>
        </w:rPr>
      </w:pPr>
      <w:r>
        <w:rPr>
          <w:lang w:val="zh-CN"/>
        </w:rPr>
        <w:t>第</w:t>
      </w:r>
      <w:r>
        <w:rPr>
          <w:rFonts w:hint="eastAsia"/>
        </w:rPr>
        <w:t>一</w:t>
      </w:r>
      <w:r>
        <w:rPr>
          <w:lang w:val="zh-CN"/>
        </w:rPr>
        <w:t>部分：</w:t>
      </w:r>
      <w:r>
        <w:rPr>
          <w:szCs w:val="21"/>
        </w:rPr>
        <w:t>资审文件</w:t>
      </w:r>
      <w:r>
        <w:rPr>
          <w:rFonts w:hint="eastAsia" w:ascii="宋体" w:hAnsi="宋体" w:cs="宋体"/>
          <w:szCs w:val="21"/>
        </w:rPr>
        <w:t>（</w:t>
      </w:r>
      <w:r>
        <w:rPr>
          <w:rFonts w:hint="eastAsia" w:ascii="宋体" w:hAnsi="宋体" w:cs="宋体"/>
          <w:b/>
          <w:bCs/>
          <w:szCs w:val="21"/>
        </w:rPr>
        <w:t>★不得出现本项目的“价格标”内容及投标报价，否则作无效标处理</w:t>
      </w:r>
      <w:r>
        <w:rPr>
          <w:rFonts w:hint="eastAsia" w:ascii="宋体" w:hAnsi="宋体" w:cs="宋体"/>
          <w:szCs w:val="21"/>
        </w:rPr>
        <w:t>）</w:t>
      </w:r>
    </w:p>
    <w:p w14:paraId="1AAB555A">
      <w:pPr>
        <w:ind w:firstLine="420"/>
        <w:rPr>
          <w:lang w:val="zh-CN"/>
        </w:rPr>
      </w:pPr>
      <w:r>
        <w:rPr>
          <w:lang w:val="zh-CN"/>
        </w:rPr>
        <w:t>（1）法定代表人资格证明书或法定代表人授权委托书；</w:t>
      </w:r>
    </w:p>
    <w:p w14:paraId="20912949">
      <w:pPr>
        <w:ind w:firstLine="420"/>
        <w:rPr>
          <w:lang w:val="zh-CN"/>
        </w:rPr>
      </w:pPr>
      <w:r>
        <w:rPr>
          <w:lang w:val="zh-CN"/>
        </w:rPr>
        <w:t>（2）有效的营业执照扫描件；</w:t>
      </w:r>
    </w:p>
    <w:p w14:paraId="426A1338">
      <w:pPr>
        <w:ind w:firstLine="420"/>
        <w:rPr>
          <w:lang w:val="zh-CN"/>
        </w:rPr>
      </w:pPr>
      <w:r>
        <w:rPr>
          <w:lang w:val="zh-CN"/>
        </w:rPr>
        <w:t>（3）投标人资格声明函；</w:t>
      </w:r>
    </w:p>
    <w:p w14:paraId="5FF50FEA">
      <w:pPr>
        <w:ind w:firstLine="420"/>
        <w:rPr>
          <w:lang w:val="zh-CN"/>
        </w:rPr>
      </w:pPr>
      <w:r>
        <w:rPr>
          <w:lang w:val="zh-CN"/>
        </w:rPr>
        <w:t>（4）</w:t>
      </w:r>
      <w:r>
        <w:rPr>
          <w:rFonts w:hint="eastAsia"/>
        </w:rPr>
        <w:t>承诺书</w:t>
      </w:r>
      <w:r>
        <w:rPr>
          <w:lang w:val="zh-CN"/>
        </w:rPr>
        <w:t>；</w:t>
      </w:r>
    </w:p>
    <w:p w14:paraId="0E0F1750">
      <w:pPr>
        <w:ind w:firstLine="420"/>
        <w:rPr>
          <w:lang w:val="zh-CN"/>
        </w:rPr>
      </w:pPr>
      <w:r>
        <w:rPr>
          <w:lang w:val="zh-CN"/>
        </w:rPr>
        <w:t>（5）招标文件要求的或投标人认为有必要提供的其他情况说明或资质证书。</w:t>
      </w:r>
    </w:p>
    <w:p w14:paraId="5013F234">
      <w:pPr>
        <w:ind w:firstLine="420"/>
        <w:rPr>
          <w:lang w:val="zh-CN"/>
        </w:rPr>
      </w:pPr>
      <w:r>
        <w:rPr>
          <w:lang w:val="zh-CN"/>
        </w:rPr>
        <w:t>第二部分：</w:t>
      </w:r>
      <w:r>
        <w:rPr>
          <w:szCs w:val="21"/>
        </w:rPr>
        <w:t>商务技术标</w:t>
      </w:r>
      <w:r>
        <w:rPr>
          <w:rFonts w:hint="eastAsia" w:ascii="宋体" w:hAnsi="宋体" w:cs="宋体"/>
          <w:szCs w:val="21"/>
        </w:rPr>
        <w:t>（</w:t>
      </w:r>
      <w:r>
        <w:rPr>
          <w:rFonts w:hint="eastAsia" w:ascii="宋体" w:hAnsi="宋体" w:cs="宋体"/>
          <w:b/>
          <w:bCs/>
          <w:szCs w:val="21"/>
        </w:rPr>
        <w:t>★不得出现本项目的“价格标”内容及投标报价，否则作无效标处理</w:t>
      </w:r>
      <w:r>
        <w:rPr>
          <w:rFonts w:hint="eastAsia" w:ascii="宋体" w:hAnsi="宋体" w:cs="宋体"/>
          <w:szCs w:val="21"/>
        </w:rPr>
        <w:t>）</w:t>
      </w:r>
    </w:p>
    <w:p w14:paraId="74190750">
      <w:pPr>
        <w:ind w:firstLine="420"/>
        <w:rPr>
          <w:lang w:val="zh-CN"/>
        </w:rPr>
      </w:pPr>
      <w:r>
        <w:rPr>
          <w:lang w:val="zh-CN"/>
        </w:rPr>
        <w:t>（1）商务响应表；</w:t>
      </w:r>
    </w:p>
    <w:p w14:paraId="7FE42D71">
      <w:pPr>
        <w:ind w:firstLine="420"/>
        <w:rPr>
          <w:lang w:val="zh-CN"/>
        </w:rPr>
      </w:pPr>
      <w:r>
        <w:rPr>
          <w:lang w:val="zh-CN"/>
        </w:rPr>
        <w:t xml:space="preserve">（2）技术响应表； </w:t>
      </w:r>
    </w:p>
    <w:p w14:paraId="1DE24B5E">
      <w:pPr>
        <w:ind w:firstLine="420"/>
        <w:rPr>
          <w:lang w:val="zh-CN"/>
        </w:rPr>
      </w:pPr>
      <w:r>
        <w:rPr>
          <w:lang w:val="zh-CN"/>
        </w:rPr>
        <w:t>（3）业绩；</w:t>
      </w:r>
    </w:p>
    <w:p w14:paraId="072EFCCF">
      <w:pPr>
        <w:ind w:firstLine="420"/>
        <w:rPr>
          <w:lang w:val="zh-CN"/>
        </w:rPr>
      </w:pPr>
      <w:r>
        <w:rPr>
          <w:lang w:val="zh-CN"/>
        </w:rPr>
        <w:t>（4）投标人基本情况表；</w:t>
      </w:r>
    </w:p>
    <w:p w14:paraId="6E36998D">
      <w:pPr>
        <w:ind w:firstLine="420"/>
        <w:rPr>
          <w:lang w:val="zh-CN"/>
        </w:rPr>
      </w:pPr>
      <w:r>
        <w:rPr>
          <w:lang w:val="zh-CN"/>
        </w:rPr>
        <w:t>（</w:t>
      </w:r>
      <w:r>
        <w:rPr>
          <w:rFonts w:hint="eastAsia"/>
        </w:rPr>
        <w:t>5</w:t>
      </w:r>
      <w:r>
        <w:rPr>
          <w:lang w:val="zh-CN"/>
        </w:rPr>
        <w:t>）商务技术标评审所涉及的其他资料（若有，格式自拟）；</w:t>
      </w:r>
    </w:p>
    <w:p w14:paraId="57C7CEA9">
      <w:pPr>
        <w:ind w:firstLine="420"/>
        <w:rPr>
          <w:lang w:val="zh-CN"/>
        </w:rPr>
      </w:pPr>
      <w:r>
        <w:rPr>
          <w:lang w:val="zh-CN"/>
        </w:rPr>
        <w:t>（</w:t>
      </w:r>
      <w:r>
        <w:rPr>
          <w:rFonts w:hint="eastAsia"/>
        </w:rPr>
        <w:t>6</w:t>
      </w:r>
      <w:r>
        <w:rPr>
          <w:lang w:val="zh-CN"/>
        </w:rPr>
        <w:t>）投标人需要特别说明的其他文件（若有，格式自拟）。</w:t>
      </w:r>
    </w:p>
    <w:p w14:paraId="1E990675">
      <w:pPr>
        <w:ind w:firstLine="420"/>
        <w:rPr>
          <w:lang w:val="zh-CN"/>
        </w:rPr>
      </w:pPr>
      <w:r>
        <w:rPr>
          <w:lang w:val="zh-CN"/>
        </w:rPr>
        <w:t>第</w:t>
      </w:r>
      <w:r>
        <w:rPr>
          <w:rFonts w:hint="eastAsia"/>
        </w:rPr>
        <w:t>三</w:t>
      </w:r>
      <w:r>
        <w:rPr>
          <w:lang w:val="zh-CN"/>
        </w:rPr>
        <w:t>部分：</w:t>
      </w:r>
      <w:r>
        <w:rPr>
          <w:szCs w:val="21"/>
        </w:rPr>
        <w:t>价格标</w:t>
      </w:r>
    </w:p>
    <w:p w14:paraId="21FD99B3">
      <w:pPr>
        <w:ind w:firstLine="420"/>
        <w:rPr>
          <w:lang w:val="zh-CN"/>
        </w:rPr>
      </w:pPr>
      <w:r>
        <w:rPr>
          <w:lang w:val="zh-CN"/>
        </w:rPr>
        <w:t>（1）投标函；</w:t>
      </w:r>
    </w:p>
    <w:p w14:paraId="35CA1D5A">
      <w:pPr>
        <w:ind w:firstLine="420"/>
        <w:rPr>
          <w:lang w:val="zh-CN"/>
        </w:rPr>
      </w:pPr>
      <w:r>
        <w:rPr>
          <w:lang w:val="zh-CN"/>
        </w:rPr>
        <w:t>（2）</w:t>
      </w:r>
      <w:r>
        <w:rPr>
          <w:rFonts w:hint="eastAsia"/>
          <w:lang w:val="zh-CN"/>
        </w:rPr>
        <w:t>开标一览表</w:t>
      </w:r>
      <w:r>
        <w:rPr>
          <w:lang w:val="zh-CN"/>
        </w:rPr>
        <w:t>；</w:t>
      </w:r>
    </w:p>
    <w:p w14:paraId="7267424A">
      <w:pPr>
        <w:ind w:firstLine="420"/>
        <w:rPr>
          <w:lang w:val="zh-CN"/>
        </w:rPr>
      </w:pPr>
      <w:r>
        <w:rPr>
          <w:lang w:val="zh-CN"/>
        </w:rPr>
        <w:t>（3）投标人针对报价需要说明的其他文件和说明（格式自拟）。</w:t>
      </w:r>
    </w:p>
    <w:p w14:paraId="0DDC0116">
      <w:pPr>
        <w:ind w:firstLine="420"/>
      </w:pPr>
      <w:r>
        <w:rPr>
          <w:lang w:val="zh-CN"/>
        </w:rPr>
        <w:t>注：以上投标资料所要求为扫描件，均须加盖公章。中标后招标人</w:t>
      </w:r>
      <w:r>
        <w:rPr>
          <w:rFonts w:hint="eastAsia"/>
        </w:rPr>
        <w:t>有权</w:t>
      </w:r>
      <w:r>
        <w:rPr>
          <w:lang w:val="zh-CN"/>
        </w:rPr>
        <w:t>对中标单位相关资料进行原件核实，若有虚假，则取消中标资格，并追究相应责任。</w:t>
      </w:r>
    </w:p>
    <w:p w14:paraId="23128E98">
      <w:pPr>
        <w:keepNext/>
        <w:keepLines/>
        <w:ind w:firstLine="422"/>
        <w:outlineLvl w:val="2"/>
        <w:rPr>
          <w:b/>
          <w:kern w:val="0"/>
        </w:rPr>
      </w:pPr>
      <w:r>
        <w:rPr>
          <w:b/>
          <w:kern w:val="0"/>
        </w:rPr>
        <w:t>（二）投标文件的语言及计量</w:t>
      </w:r>
    </w:p>
    <w:p w14:paraId="21731A2F">
      <w:pPr>
        <w:ind w:firstLine="420"/>
      </w:pPr>
      <w:r>
        <w:t>★1. 投标文件以及投标人与招标人就有关投标事宜的所有来往函电，均应以中文汉语书写。除签名、盖章、专用名称等特殊情形外，以中文汉语以外的文字表述的投标文件视同未提供。</w:t>
      </w:r>
    </w:p>
    <w:p w14:paraId="122F9D58">
      <w:pPr>
        <w:ind w:firstLine="420"/>
      </w:pPr>
      <w:r>
        <w:t>★2. 投标计量单位，招标文件已有明确规定的，使用招标文件规定的计量单位；招标文件没有规定的，应采用中华人民共和国法定计量单位（例如货币单位：人民币元），否则视同未响应。</w:t>
      </w:r>
    </w:p>
    <w:p w14:paraId="30B53940">
      <w:pPr>
        <w:keepNext/>
        <w:keepLines/>
        <w:ind w:firstLine="422"/>
        <w:outlineLvl w:val="2"/>
        <w:rPr>
          <w:b/>
          <w:kern w:val="0"/>
        </w:rPr>
      </w:pPr>
      <w:r>
        <w:rPr>
          <w:b/>
          <w:kern w:val="0"/>
        </w:rPr>
        <w:t>（三）投标报价</w:t>
      </w:r>
    </w:p>
    <w:p w14:paraId="1AA59B5D">
      <w:pPr>
        <w:ind w:firstLine="420"/>
      </w:pPr>
      <w:r>
        <w:t>1. 投标报价应按招标文件中相关附表格式填写。</w:t>
      </w:r>
    </w:p>
    <w:p w14:paraId="63411120">
      <w:pPr>
        <w:ind w:firstLine="420"/>
      </w:pPr>
      <w:r>
        <w:t>2. 报价内容</w:t>
      </w:r>
      <w:r>
        <w:rPr>
          <w:rFonts w:hint="eastAsia" w:ascii="宋体" w:hAnsi="宋体" w:cs="宋体"/>
          <w:szCs w:val="21"/>
        </w:rPr>
        <w:t>详见前附表相关要求</w:t>
      </w:r>
      <w:r>
        <w:t>。</w:t>
      </w:r>
    </w:p>
    <w:p w14:paraId="4584A1C6">
      <w:pPr>
        <w:ind w:firstLine="420"/>
      </w:pPr>
      <w:r>
        <w:t>3. 投标文件只允许有一个投标总价，有选择的或有条件的报价将不予接受。</w:t>
      </w:r>
    </w:p>
    <w:p w14:paraId="0269C9FB">
      <w:pPr>
        <w:keepNext/>
        <w:keepLines/>
        <w:ind w:firstLine="422"/>
        <w:outlineLvl w:val="2"/>
        <w:rPr>
          <w:b/>
          <w:kern w:val="0"/>
        </w:rPr>
      </w:pPr>
      <w:r>
        <w:rPr>
          <w:b/>
          <w:kern w:val="0"/>
        </w:rPr>
        <w:t>（四）投标文件的有效期</w:t>
      </w:r>
    </w:p>
    <w:p w14:paraId="4A1F4B57">
      <w:pPr>
        <w:ind w:firstLine="422"/>
        <w:rPr>
          <w:b/>
          <w:bCs/>
        </w:rPr>
      </w:pPr>
      <w:r>
        <w:rPr>
          <w:b/>
          <w:bCs/>
        </w:rPr>
        <w:t>★1. 自投标截止日起60天投标文件应保持有效。有效期不足的投标文件将被拒绝。</w:t>
      </w:r>
    </w:p>
    <w:p w14:paraId="141176F9">
      <w:pPr>
        <w:ind w:firstLine="420"/>
      </w:pPr>
      <w:r>
        <w:t>2. 在特殊情况下，招标人可与投标人协商延长投标书的有效期，这种要求和答复均以书面形式进行。</w:t>
      </w:r>
    </w:p>
    <w:p w14:paraId="04018D9C">
      <w:pPr>
        <w:ind w:firstLine="420"/>
      </w:pPr>
      <w:r>
        <w:t>3. 投标人可拒绝接受延期要求而不会导致投标保证金被没收。同意延长有效期的投标人需要相应延长投标保证金的有效期，但不能修改投标文件。</w:t>
      </w:r>
    </w:p>
    <w:p w14:paraId="06B7C0A6">
      <w:pPr>
        <w:ind w:firstLine="420"/>
      </w:pPr>
      <w:r>
        <w:t>4. 中标人的投标文件自开标之日起至合同履行完毕为止均应保持有效。</w:t>
      </w:r>
    </w:p>
    <w:p w14:paraId="73DDF960">
      <w:pPr>
        <w:keepNext/>
        <w:keepLines/>
        <w:ind w:firstLine="422"/>
        <w:outlineLvl w:val="2"/>
        <w:rPr>
          <w:b/>
          <w:kern w:val="0"/>
        </w:rPr>
      </w:pPr>
      <w:r>
        <w:rPr>
          <w:b/>
          <w:kern w:val="0"/>
        </w:rPr>
        <w:t>（五）投标保证金</w:t>
      </w:r>
    </w:p>
    <w:p w14:paraId="23D12A45">
      <w:pPr>
        <w:snapToGrid w:val="0"/>
        <w:ind w:firstLine="413" w:firstLineChars="196"/>
        <w:jc w:val="left"/>
        <w:rPr>
          <w:rFonts w:ascii="宋体" w:hAnsi="宋体" w:cs="宋体"/>
          <w:b/>
          <w:bCs/>
          <w:szCs w:val="21"/>
        </w:rPr>
      </w:pPr>
      <w:r>
        <w:rPr>
          <w:rFonts w:hint="eastAsia" w:ascii="宋体" w:hAnsi="宋体" w:cs="宋体"/>
          <w:b/>
          <w:bCs/>
          <w:szCs w:val="21"/>
        </w:rPr>
        <w:tab/>
      </w:r>
      <w:r>
        <w:rPr>
          <w:rFonts w:hint="eastAsia" w:ascii="宋体" w:hAnsi="宋体" w:cs="宋体"/>
          <w:b/>
          <w:bCs/>
          <w:szCs w:val="21"/>
        </w:rPr>
        <w:t>★1.投标人须按规定提交投标保证金。否则，其投标将被拒绝。</w:t>
      </w:r>
    </w:p>
    <w:p w14:paraId="6DCA5BDA">
      <w:pPr>
        <w:ind w:firstLine="420"/>
        <w:rPr>
          <w:rFonts w:ascii="宋体" w:hAnsi="宋体" w:cs="宋体"/>
        </w:rPr>
      </w:pPr>
      <w:r>
        <w:rPr>
          <w:rFonts w:hint="eastAsia" w:ascii="宋体" w:hAnsi="宋体" w:cs="宋体"/>
        </w:rPr>
        <w:t>2. 保证金形式：</w:t>
      </w:r>
      <w:r>
        <w:t>银行转帐</w:t>
      </w:r>
      <w:r>
        <w:rPr>
          <w:rFonts w:hint="eastAsia" w:ascii="宋体" w:hAnsi="宋体" w:cs="宋体"/>
        </w:rPr>
        <w:t>；</w:t>
      </w:r>
    </w:p>
    <w:p w14:paraId="6BC7C43A">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3.未中标人的投标保证金</w:t>
      </w:r>
      <w:r>
        <w:rPr>
          <w:rFonts w:hint="eastAsia" w:ascii="宋体" w:hAnsi="宋体" w:cs="宋体"/>
        </w:rPr>
        <w:t>在中标通知书发出后退还。</w:t>
      </w:r>
    </w:p>
    <w:p w14:paraId="6C56F4EC">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4.中标人应在中标通知书发出后30日内与招标人签订合同，</w:t>
      </w:r>
      <w:r>
        <w:rPr>
          <w:rFonts w:hint="eastAsia" w:ascii="宋体" w:hAnsi="宋体" w:cs="宋体"/>
        </w:rPr>
        <w:t>投标保证金凭合同一次性退还给中标人（投标保证金不计息）。</w:t>
      </w:r>
    </w:p>
    <w:p w14:paraId="46FCE756">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5.投标人有下列情形之一的，投标保证金将不予退还：</w:t>
      </w:r>
    </w:p>
    <w:p w14:paraId="6BAA2CB3">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（1）投标人在投标有效期内撤回投标文件的；</w:t>
      </w:r>
    </w:p>
    <w:p w14:paraId="6F76677A">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（2）未按规定提交履约保证金（如适用）的；</w:t>
      </w:r>
    </w:p>
    <w:p w14:paraId="72E6E3B5">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（3）投标人在投标过程中弄虚作假，提供虚假材料的；</w:t>
      </w:r>
    </w:p>
    <w:p w14:paraId="30176A52">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（4）中标人无正当理由不与采购人签订合同的；</w:t>
      </w:r>
    </w:p>
    <w:p w14:paraId="1275926E">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（5）将中标项目转让给他人或者在投标文件中未说明且未经采购人同意，将中标项目分包给他人的；</w:t>
      </w:r>
    </w:p>
    <w:p w14:paraId="32E79591">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（6）拒绝履行合同义务的；</w:t>
      </w:r>
    </w:p>
    <w:p w14:paraId="3DC7E5FA">
      <w:pPr>
        <w:snapToGrid w:val="0"/>
        <w:ind w:firstLine="411" w:firstLineChars="196"/>
        <w:jc w:val="left"/>
        <w:rPr>
          <w:rFonts w:ascii="宋体" w:hAnsi="宋体" w:cs="宋体"/>
          <w:szCs w:val="21"/>
        </w:rPr>
      </w:pPr>
      <w:r>
        <w:rPr>
          <w:rFonts w:hint="eastAsia" w:ascii="宋体" w:hAnsi="宋体" w:cs="宋体"/>
          <w:szCs w:val="21"/>
        </w:rPr>
        <w:tab/>
      </w:r>
      <w:r>
        <w:rPr>
          <w:rFonts w:hint="eastAsia" w:ascii="宋体" w:hAnsi="宋体" w:cs="宋体"/>
          <w:szCs w:val="21"/>
        </w:rPr>
        <w:t>（7）其他严重扰乱招投标程序的；</w:t>
      </w:r>
    </w:p>
    <w:p w14:paraId="612681C5">
      <w:pPr>
        <w:keepNext/>
        <w:keepLines/>
        <w:ind w:firstLine="422"/>
        <w:outlineLvl w:val="2"/>
        <w:rPr>
          <w:b/>
          <w:kern w:val="0"/>
        </w:rPr>
      </w:pPr>
      <w:r>
        <w:rPr>
          <w:b/>
          <w:kern w:val="0"/>
        </w:rPr>
        <w:t>（六）投标文件的签署</w:t>
      </w:r>
    </w:p>
    <w:p w14:paraId="57BD9FFA">
      <w:pPr>
        <w:ind w:firstLine="420"/>
      </w:pPr>
      <w:r>
        <w:t>1. 投标人应按本招标文件规定的格式和顺序编制投标文件并标注页码，投标文件内容不完整、编排及上传混乱导致投标文件被误读、漏读或者查找不到相关内容的，是投标人的责任。</w:t>
      </w:r>
    </w:p>
    <w:p w14:paraId="62C940B7">
      <w:pPr>
        <w:ind w:firstLine="420"/>
      </w:pPr>
      <w:r>
        <w:t>2. 投标人根据招标文件要求分别提供价格标、商务技术标、资审文件。</w:t>
      </w:r>
    </w:p>
    <w:p w14:paraId="28F7B300">
      <w:pPr>
        <w:ind w:firstLine="422"/>
        <w:rPr>
          <w:b/>
          <w:bCs/>
        </w:rPr>
      </w:pPr>
      <w:r>
        <w:rPr>
          <w:b/>
          <w:bCs/>
        </w:rPr>
        <w:t>★3. 法定代表人授权委托书必须由法定代表人签</w:t>
      </w:r>
      <w:r>
        <w:rPr>
          <w:rFonts w:hint="eastAsia"/>
          <w:b/>
          <w:bCs/>
        </w:rPr>
        <w:t>字</w:t>
      </w:r>
      <w:r>
        <w:rPr>
          <w:b/>
          <w:bCs/>
        </w:rPr>
        <w:t>或盖法人章、被授权人签章并加盖单位公章。投标文件及投标报价表必须由法定代表人或被授权人签章并加盖单位公章，投标人应写全称。</w:t>
      </w:r>
    </w:p>
    <w:p w14:paraId="54E95248">
      <w:pPr>
        <w:ind w:firstLine="420"/>
        <w:rPr>
          <w:szCs w:val="21"/>
        </w:rPr>
      </w:pPr>
      <w:r>
        <w:t>4. 投标文件不得涂改，若有修改错漏处，须加盖单位公章或者法定代表人或授权委托人签</w:t>
      </w:r>
      <w:r>
        <w:rPr>
          <w:rFonts w:hint="eastAsia"/>
        </w:rPr>
        <w:t>字</w:t>
      </w:r>
      <w:r>
        <w:t>或盖章。投标文件因字迹潦草或表达不清所引起的后果由投标人负责。</w:t>
      </w:r>
    </w:p>
    <w:p w14:paraId="105BC5BE">
      <w:pPr>
        <w:keepNext/>
        <w:keepLines/>
        <w:ind w:firstLine="422"/>
        <w:outlineLvl w:val="2"/>
        <w:rPr>
          <w:b/>
          <w:kern w:val="0"/>
        </w:rPr>
      </w:pPr>
      <w:r>
        <w:rPr>
          <w:b/>
          <w:kern w:val="0"/>
        </w:rPr>
        <w:t>（七）投标文件的递交、修改和撤回</w:t>
      </w:r>
    </w:p>
    <w:p w14:paraId="4EDAD2F2">
      <w:pPr>
        <w:ind w:firstLine="420"/>
      </w:pPr>
      <w:r>
        <w:t>1. 投标文件需在投标文件递交的截止时间前递交。</w:t>
      </w:r>
    </w:p>
    <w:p w14:paraId="5C9AE34B">
      <w:pPr>
        <w:ind w:firstLine="420"/>
      </w:pPr>
      <w:r>
        <w:t>2. 投标人在投标截止时间之前，可以对已提交的投标文件进行修改或撤回；投标截止时间后，投标人不得撤回、修改投标文件。</w:t>
      </w:r>
    </w:p>
    <w:p w14:paraId="3BD40490">
      <w:pPr>
        <w:keepNext/>
        <w:keepLines/>
        <w:ind w:firstLine="422"/>
        <w:outlineLvl w:val="2"/>
        <w:rPr>
          <w:b/>
          <w:kern w:val="0"/>
        </w:rPr>
      </w:pPr>
      <w:r>
        <w:rPr>
          <w:b/>
          <w:kern w:val="0"/>
        </w:rPr>
        <w:t>（八）投标无效的情形</w:t>
      </w:r>
    </w:p>
    <w:p w14:paraId="75BD059F">
      <w:pPr>
        <w:ind w:firstLine="420"/>
      </w:pPr>
      <w: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限期内不补正或经补正后仍不符合招标文件要求的，应认定其投标无效。投标人修改、补正投标文件后，不影响评标委员会对其投标文件所作的评价和评分结果。</w:t>
      </w:r>
    </w:p>
    <w:p w14:paraId="6897B9C4">
      <w:pPr>
        <w:ind w:firstLine="422"/>
        <w:rPr>
          <w:b/>
          <w:bCs/>
        </w:rPr>
      </w:pPr>
      <w:r>
        <w:rPr>
          <w:b/>
          <w:bCs/>
        </w:rPr>
        <w:t>出现下列情形之一的，投标文件将被视为无效：</w:t>
      </w:r>
    </w:p>
    <w:p w14:paraId="466DC870">
      <w:pPr>
        <w:ind w:firstLine="422"/>
        <w:rPr>
          <w:b/>
          <w:bCs/>
        </w:rPr>
      </w:pPr>
      <w:r>
        <w:rPr>
          <w:b/>
          <w:bCs/>
        </w:rPr>
        <w:t>1.</w:t>
      </w:r>
      <w:r>
        <w:rPr>
          <w:rFonts w:hint="eastAsia"/>
          <w:b/>
          <w:bCs/>
        </w:rPr>
        <w:t xml:space="preserve"> 第一阶段</w:t>
      </w:r>
      <w:r>
        <w:rPr>
          <w:b/>
          <w:bCs/>
        </w:rPr>
        <w:t>评审</w:t>
      </w:r>
      <w:r>
        <w:rPr>
          <w:rFonts w:hint="eastAsia"/>
          <w:b/>
          <w:bCs/>
        </w:rPr>
        <w:t>（</w:t>
      </w:r>
      <w:r>
        <w:rPr>
          <w:b/>
          <w:bCs/>
        </w:rPr>
        <w:t>资审文件和商务技术标评审</w:t>
      </w:r>
      <w:r>
        <w:rPr>
          <w:rFonts w:hint="eastAsia"/>
          <w:b/>
          <w:bCs/>
        </w:rPr>
        <w:t>）</w:t>
      </w:r>
      <w:r>
        <w:rPr>
          <w:b/>
          <w:bCs/>
        </w:rPr>
        <w:t>时，如发现下列情形之一的，投标文件将被视为无效</w:t>
      </w:r>
      <w:r>
        <w:rPr>
          <w:rFonts w:hint="eastAsia"/>
          <w:b/>
          <w:bCs/>
        </w:rPr>
        <w:t>：</w:t>
      </w:r>
    </w:p>
    <w:p w14:paraId="74229AF5">
      <w:pPr>
        <w:ind w:firstLine="422"/>
        <w:rPr>
          <w:b/>
          <w:bCs/>
        </w:rPr>
      </w:pPr>
      <w:r>
        <w:rPr>
          <w:b/>
          <w:bCs/>
        </w:rPr>
        <w:t>（1）投标人的资格条件不符合招标文件要求的。</w:t>
      </w:r>
    </w:p>
    <w:p w14:paraId="4F092A7B">
      <w:pPr>
        <w:ind w:firstLine="422"/>
        <w:rPr>
          <w:b/>
          <w:bCs/>
        </w:rPr>
      </w:pPr>
      <w:r>
        <w:rPr>
          <w:b/>
          <w:bCs/>
        </w:rPr>
        <w:t>（2）投标人未提交投标保证金或保证金金额不足，投标保证金形式不符合招标文件要求的。</w:t>
      </w:r>
    </w:p>
    <w:p w14:paraId="705CF842">
      <w:pPr>
        <w:ind w:firstLine="422"/>
        <w:rPr>
          <w:b/>
          <w:bCs/>
        </w:rPr>
      </w:pPr>
      <w:r>
        <w:rPr>
          <w:b/>
          <w:bCs/>
        </w:rPr>
        <w:t>（3）投标文件未按招标文件要求签字盖章的。</w:t>
      </w:r>
    </w:p>
    <w:p w14:paraId="2F127CFB">
      <w:pPr>
        <w:ind w:firstLine="422"/>
        <w:rPr>
          <w:b/>
          <w:bCs/>
        </w:rPr>
      </w:pPr>
      <w:r>
        <w:rPr>
          <w:b/>
          <w:bCs/>
        </w:rPr>
        <w:t>（4）投标有效期不足的。</w:t>
      </w:r>
    </w:p>
    <w:p w14:paraId="24D6AFAF">
      <w:pPr>
        <w:ind w:firstLine="422"/>
        <w:rPr>
          <w:b/>
          <w:bCs/>
        </w:rPr>
      </w:pPr>
      <w:r>
        <w:rPr>
          <w:b/>
          <w:bCs/>
        </w:rPr>
        <w:t>（</w:t>
      </w:r>
      <w:r>
        <w:rPr>
          <w:rFonts w:hint="eastAsia"/>
          <w:b/>
          <w:bCs/>
        </w:rPr>
        <w:t>5</w:t>
      </w:r>
      <w:r>
        <w:rPr>
          <w:b/>
          <w:bCs/>
        </w:rPr>
        <w:t>）</w:t>
      </w:r>
      <w:r>
        <w:rPr>
          <w:rFonts w:hint="eastAsia"/>
          <w:b/>
          <w:bCs/>
        </w:rPr>
        <w:t>不同投标人的电子投标文件编制时的计算机硬件信息中网卡MAC地址（如有）、硬盘（含移动存储介质）序列号（0ptane_0000、0100_0000_0000_0000序列号除外）、互联网接入IP地址相同。</w:t>
      </w:r>
    </w:p>
    <w:p w14:paraId="3B814FAE">
      <w:pPr>
        <w:ind w:firstLine="422"/>
        <w:rPr>
          <w:b/>
          <w:bCs/>
        </w:rPr>
      </w:pPr>
      <w:r>
        <w:rPr>
          <w:rFonts w:hint="eastAsia"/>
          <w:b/>
          <w:bCs/>
        </w:rPr>
        <w:t>（6）</w:t>
      </w:r>
      <w:r>
        <w:rPr>
          <w:b/>
          <w:bCs/>
        </w:rPr>
        <w:t>资审文件或商务技术标中出现</w:t>
      </w:r>
      <w:r>
        <w:rPr>
          <w:rFonts w:hint="eastAsia"/>
          <w:b/>
          <w:bCs/>
        </w:rPr>
        <w:t>“</w:t>
      </w:r>
      <w:r>
        <w:rPr>
          <w:b/>
          <w:bCs/>
        </w:rPr>
        <w:t>价格标</w:t>
      </w:r>
      <w:r>
        <w:rPr>
          <w:rFonts w:hint="eastAsia"/>
          <w:b/>
          <w:bCs/>
        </w:rPr>
        <w:t>”</w:t>
      </w:r>
      <w:r>
        <w:rPr>
          <w:b/>
          <w:bCs/>
        </w:rPr>
        <w:t>内容或投标报价。</w:t>
      </w:r>
    </w:p>
    <w:p w14:paraId="5F282723">
      <w:pPr>
        <w:ind w:firstLine="422"/>
        <w:rPr>
          <w:b/>
          <w:bCs/>
        </w:rPr>
      </w:pPr>
      <w:r>
        <w:rPr>
          <w:b/>
          <w:bCs/>
        </w:rPr>
        <w:t>（</w:t>
      </w:r>
      <w:r>
        <w:rPr>
          <w:rFonts w:hint="eastAsia"/>
          <w:b/>
          <w:bCs/>
        </w:rPr>
        <w:t>7</w:t>
      </w:r>
      <w:r>
        <w:rPr>
          <w:b/>
          <w:bCs/>
        </w:rPr>
        <w:t>）投标文件实质上没有响应招标文件要求的。</w:t>
      </w:r>
    </w:p>
    <w:p w14:paraId="309CBB68">
      <w:pPr>
        <w:ind w:firstLine="422"/>
        <w:rPr>
          <w:b/>
          <w:bCs/>
        </w:rPr>
      </w:pPr>
      <w:r>
        <w:rPr>
          <w:b/>
          <w:bCs/>
        </w:rPr>
        <w:t>（</w:t>
      </w:r>
      <w:r>
        <w:rPr>
          <w:rFonts w:hint="eastAsia"/>
          <w:b/>
          <w:bCs/>
        </w:rPr>
        <w:t>8</w:t>
      </w:r>
      <w:r>
        <w:rPr>
          <w:b/>
          <w:bCs/>
        </w:rPr>
        <w:t>）投标文件中附有招标人不能接受的条件的。</w:t>
      </w:r>
    </w:p>
    <w:p w14:paraId="51C7AAA5">
      <w:pPr>
        <w:ind w:firstLine="422"/>
        <w:rPr>
          <w:b/>
          <w:bCs/>
        </w:rPr>
      </w:pPr>
      <w:r>
        <w:rPr>
          <w:b/>
          <w:bCs/>
        </w:rPr>
        <w:t>2.</w:t>
      </w:r>
      <w:r>
        <w:rPr>
          <w:rFonts w:hint="eastAsia"/>
          <w:b/>
          <w:bCs/>
        </w:rPr>
        <w:t xml:space="preserve"> 第二阶段评审（</w:t>
      </w:r>
      <w:r>
        <w:rPr>
          <w:b/>
          <w:bCs/>
        </w:rPr>
        <w:t>价格标评审</w:t>
      </w:r>
      <w:r>
        <w:rPr>
          <w:rFonts w:hint="eastAsia"/>
          <w:b/>
          <w:bCs/>
        </w:rPr>
        <w:t>）</w:t>
      </w:r>
      <w:r>
        <w:rPr>
          <w:b/>
          <w:bCs/>
        </w:rPr>
        <w:t>时，如发现下列情形之一的，投标文件将被视为无效</w:t>
      </w:r>
      <w:r>
        <w:rPr>
          <w:rFonts w:hint="eastAsia"/>
          <w:b/>
          <w:bCs/>
        </w:rPr>
        <w:t>：</w:t>
      </w:r>
    </w:p>
    <w:p w14:paraId="79F6D8C8">
      <w:pPr>
        <w:ind w:firstLine="422"/>
        <w:rPr>
          <w:b/>
          <w:bCs/>
        </w:rPr>
      </w:pPr>
      <w:r>
        <w:rPr>
          <w:rFonts w:hint="eastAsia"/>
          <w:b/>
          <w:bCs/>
        </w:rPr>
        <w:t>（1）投标文件未按招标文件要求签字盖章的。</w:t>
      </w:r>
    </w:p>
    <w:p w14:paraId="35549477">
      <w:pPr>
        <w:ind w:firstLine="422"/>
        <w:rPr>
          <w:b/>
          <w:bCs/>
        </w:rPr>
      </w:pPr>
      <w:r>
        <w:rPr>
          <w:rFonts w:hint="eastAsia"/>
          <w:b/>
          <w:bCs/>
        </w:rPr>
        <w:t>（2）超过最高限价的。</w:t>
      </w:r>
    </w:p>
    <w:p w14:paraId="7B12CA02">
      <w:pPr>
        <w:ind w:firstLine="422"/>
        <w:rPr>
          <w:b/>
          <w:bCs/>
        </w:rPr>
      </w:pPr>
      <w:r>
        <w:rPr>
          <w:rFonts w:hint="eastAsia"/>
          <w:b/>
          <w:bCs/>
        </w:rPr>
        <w:t>（3）在评标过程中，评标委员会发现投标人的报价明显低于其他投标报价，使得其投标报价可能低于其个别成本的，应当要求该投标人作出说明并提供相关证明材料。投标人不能合理说明或者不能提供相关证明材料的，由评标委员会认定该投标人以低于成本报价竞标，其投标作无效标处理。</w:t>
      </w:r>
    </w:p>
    <w:p w14:paraId="1DF73D8D">
      <w:pPr>
        <w:ind w:firstLine="422"/>
        <w:rPr>
          <w:b/>
          <w:bCs/>
        </w:rPr>
      </w:pPr>
      <w:r>
        <w:rPr>
          <w:rFonts w:hint="eastAsia"/>
          <w:b/>
          <w:bCs/>
        </w:rPr>
        <w:t>（4）投标文件实质上没有响应招标文件要求的。</w:t>
      </w:r>
    </w:p>
    <w:p w14:paraId="416A7B67">
      <w:pPr>
        <w:ind w:firstLine="422"/>
        <w:rPr>
          <w:b/>
          <w:bCs/>
        </w:rPr>
      </w:pPr>
      <w:r>
        <w:rPr>
          <w:rFonts w:hint="eastAsia"/>
          <w:b/>
          <w:bCs/>
        </w:rPr>
        <w:t>（5）投标文件中附有招标人不能接受的条件的。</w:t>
      </w:r>
    </w:p>
    <w:p w14:paraId="47474FB4">
      <w:pPr>
        <w:snapToGrid w:val="0"/>
        <w:spacing w:before="156" w:beforeLines="50"/>
        <w:ind w:firstLine="0" w:firstLineChars="0"/>
        <w:outlineLvl w:val="1"/>
        <w:rPr>
          <w:b/>
          <w:sz w:val="24"/>
          <w:szCs w:val="21"/>
        </w:rPr>
      </w:pPr>
      <w:r>
        <w:rPr>
          <w:b/>
          <w:sz w:val="24"/>
          <w:szCs w:val="21"/>
        </w:rPr>
        <w:t>四、重新招标</w:t>
      </w:r>
    </w:p>
    <w:p w14:paraId="3E240D18">
      <w:pPr>
        <w:adjustRightInd w:val="0"/>
        <w:snapToGrid w:val="0"/>
        <w:spacing w:line="408" w:lineRule="auto"/>
        <w:ind w:firstLine="420"/>
        <w:outlineLvl w:val="3"/>
        <w:rPr>
          <w:rFonts w:ascii="宋体" w:hAnsi="宋体" w:cs="宋体"/>
          <w:szCs w:val="21"/>
        </w:rPr>
      </w:pPr>
      <w:r>
        <w:rPr>
          <w:rFonts w:hint="eastAsia" w:ascii="宋体" w:hAnsi="宋体" w:cs="宋体"/>
          <w:szCs w:val="21"/>
        </w:rPr>
        <w:t>有下列情形之一的，招标人将重新招标：</w:t>
      </w:r>
    </w:p>
    <w:p w14:paraId="2E7D1DE1">
      <w:pPr>
        <w:adjustRightInd w:val="0"/>
        <w:snapToGrid w:val="0"/>
        <w:spacing w:line="408" w:lineRule="auto"/>
        <w:ind w:firstLine="420"/>
        <w:outlineLvl w:val="3"/>
        <w:rPr>
          <w:rFonts w:ascii="宋体" w:hAnsi="宋体" w:cs="宋体"/>
          <w:szCs w:val="21"/>
        </w:rPr>
      </w:pPr>
      <w:r>
        <w:rPr>
          <w:rFonts w:hint="eastAsia" w:ascii="宋体" w:hAnsi="宋体" w:cs="宋体"/>
          <w:szCs w:val="21"/>
        </w:rPr>
        <w:t xml:space="preserve">1. </w:t>
      </w:r>
      <w:r>
        <w:rPr>
          <w:rFonts w:hint="eastAsia"/>
        </w:rPr>
        <w:t>至投标截止时间止，投标人不足3家的，本项目无法开标，重新组织招标。</w:t>
      </w:r>
    </w:p>
    <w:p w14:paraId="5E68DB03">
      <w:pPr>
        <w:adjustRightInd w:val="0"/>
        <w:snapToGrid w:val="0"/>
        <w:spacing w:line="408" w:lineRule="auto"/>
        <w:ind w:firstLine="420"/>
        <w:outlineLvl w:val="3"/>
        <w:rPr>
          <w:rFonts w:ascii="宋体" w:hAnsi="宋体" w:cs="宋体"/>
          <w:szCs w:val="21"/>
        </w:rPr>
      </w:pPr>
      <w:r>
        <w:rPr>
          <w:rFonts w:hint="eastAsia" w:ascii="宋体" w:hAnsi="宋体" w:cs="宋体"/>
          <w:szCs w:val="21"/>
        </w:rPr>
        <w:t xml:space="preserve">2. </w:t>
      </w:r>
      <w:r>
        <w:rPr>
          <w:rFonts w:hint="eastAsia"/>
        </w:rPr>
        <w:t>开标后经评审，当有效标不足3家时，评标委员会应否决全部投标，重新组织招标。</w:t>
      </w:r>
    </w:p>
    <w:p w14:paraId="4FC9C2CD">
      <w:pPr>
        <w:adjustRightInd w:val="0"/>
        <w:snapToGrid w:val="0"/>
        <w:spacing w:line="408" w:lineRule="auto"/>
        <w:ind w:firstLine="420"/>
        <w:outlineLvl w:val="3"/>
        <w:rPr>
          <w:rFonts w:ascii="宋体" w:hAnsi="宋体" w:cs="宋体"/>
          <w:szCs w:val="21"/>
        </w:rPr>
      </w:pPr>
      <w:r>
        <w:rPr>
          <w:rFonts w:hint="eastAsia" w:ascii="宋体" w:hAnsi="宋体" w:cs="宋体"/>
          <w:szCs w:val="21"/>
        </w:rPr>
        <w:t>3.</w:t>
      </w:r>
      <w:r>
        <w:rPr>
          <w:rFonts w:hint="eastAsia"/>
        </w:rPr>
        <w:t>中标候选人均未与招标人签订合同的，重新组织招标。</w:t>
      </w:r>
    </w:p>
    <w:p w14:paraId="7AB2D664">
      <w:pPr>
        <w:snapToGrid w:val="0"/>
        <w:spacing w:before="156" w:beforeLines="50"/>
        <w:ind w:firstLine="0" w:firstLineChars="0"/>
        <w:outlineLvl w:val="1"/>
        <w:rPr>
          <w:b/>
          <w:sz w:val="24"/>
          <w:szCs w:val="21"/>
        </w:rPr>
      </w:pPr>
      <w:r>
        <w:rPr>
          <w:b/>
          <w:sz w:val="24"/>
          <w:szCs w:val="21"/>
        </w:rPr>
        <w:t>五、开标</w:t>
      </w:r>
    </w:p>
    <w:p w14:paraId="3AF323A3">
      <w:pPr>
        <w:ind w:firstLine="420"/>
      </w:pPr>
      <w:r>
        <w:t>招标人将在规定的时间和地点进行开标，投标人根据投标文件递交的截止时间前递交。投标人于投标截止时间之后</w:t>
      </w:r>
      <w:r>
        <w:rPr>
          <w:rFonts w:hint="eastAsia"/>
        </w:rPr>
        <w:t>三十</w:t>
      </w:r>
      <w:r>
        <w:t>分钟内在“浙江海港投标管家”工具端—进入项目—开标—远程开标模块，点击“确认开标结果”按钮进行确认，如超时未确认，视作投标人已对开标结果确认无误。(注：开标期间，投标人时刻保持电话畅通，万一询标能按时在系统上答复。)</w:t>
      </w:r>
    </w:p>
    <w:p w14:paraId="645F4704">
      <w:pPr>
        <w:ind w:firstLine="420"/>
      </w:pPr>
      <w:r>
        <w:t>本项目采用两步开标法。第一阶段先开启各投标人的“资审文件”及“商务技术标”，第二阶段待“资审文件”及“商务技术标”</w:t>
      </w:r>
      <w:r>
        <w:rPr>
          <w:rFonts w:hint="eastAsia"/>
        </w:rPr>
        <w:t>完成评审公布结果后</w:t>
      </w:r>
      <w:r>
        <w:t>，开启</w:t>
      </w:r>
      <w:r>
        <w:rPr>
          <w:rFonts w:hint="eastAsia"/>
        </w:rPr>
        <w:t>各</w:t>
      </w:r>
      <w:r>
        <w:t>投标人的“价格标”。</w:t>
      </w:r>
    </w:p>
    <w:p w14:paraId="28F167D2">
      <w:pPr>
        <w:snapToGrid w:val="0"/>
        <w:spacing w:before="156" w:beforeLines="50"/>
        <w:ind w:firstLine="0" w:firstLineChars="0"/>
        <w:outlineLvl w:val="1"/>
        <w:rPr>
          <w:b/>
          <w:sz w:val="24"/>
          <w:szCs w:val="21"/>
        </w:rPr>
      </w:pPr>
      <w:r>
        <w:rPr>
          <w:b/>
          <w:sz w:val="24"/>
          <w:szCs w:val="21"/>
        </w:rPr>
        <w:t>六、评标</w:t>
      </w:r>
    </w:p>
    <w:p w14:paraId="105A28EF">
      <w:pPr>
        <w:keepNext/>
        <w:keepLines/>
        <w:ind w:firstLine="422"/>
        <w:outlineLvl w:val="2"/>
        <w:rPr>
          <w:b/>
          <w:kern w:val="0"/>
        </w:rPr>
      </w:pPr>
      <w:r>
        <w:rPr>
          <w:b/>
          <w:kern w:val="0"/>
        </w:rPr>
        <w:t>（一）组建评标委员会</w:t>
      </w:r>
    </w:p>
    <w:p w14:paraId="2FCF5058">
      <w:pPr>
        <w:widowControl/>
        <w:ind w:firstLine="420"/>
        <w:jc w:val="left"/>
      </w:pPr>
      <w:r>
        <w:t>本项目评标委员会由</w:t>
      </w:r>
      <w:r>
        <w:rPr>
          <w:szCs w:val="21"/>
        </w:rPr>
        <w:t>评审专家和招标人代表组成。</w:t>
      </w:r>
    </w:p>
    <w:p w14:paraId="67B4D4C9">
      <w:pPr>
        <w:keepNext/>
        <w:keepLines/>
        <w:ind w:firstLine="422"/>
        <w:outlineLvl w:val="2"/>
        <w:rPr>
          <w:b/>
          <w:kern w:val="0"/>
        </w:rPr>
      </w:pPr>
      <w:r>
        <w:rPr>
          <w:b/>
          <w:kern w:val="0"/>
        </w:rPr>
        <w:t>（二）评标的方式</w:t>
      </w:r>
    </w:p>
    <w:p w14:paraId="4D240975">
      <w:pPr>
        <w:ind w:firstLine="420"/>
      </w:pPr>
      <w:r>
        <w:t>本项目采用不公开方式评标，评标的依据为招标文件、投标文件及其补充文件（若有）。</w:t>
      </w:r>
    </w:p>
    <w:p w14:paraId="77FC65D4">
      <w:pPr>
        <w:keepNext/>
        <w:keepLines/>
        <w:ind w:firstLine="422"/>
        <w:outlineLvl w:val="2"/>
        <w:rPr>
          <w:b/>
          <w:kern w:val="0"/>
        </w:rPr>
      </w:pPr>
      <w:r>
        <w:rPr>
          <w:b/>
          <w:kern w:val="0"/>
        </w:rPr>
        <w:t>（三）评标程序</w:t>
      </w:r>
    </w:p>
    <w:p w14:paraId="5D7516B2">
      <w:pPr>
        <w:keepNext/>
        <w:keepLines/>
        <w:ind w:firstLine="422"/>
        <w:outlineLvl w:val="3"/>
        <w:rPr>
          <w:b/>
          <w:bCs/>
          <w:kern w:val="0"/>
          <w:szCs w:val="28"/>
        </w:rPr>
      </w:pPr>
      <w:r>
        <w:rPr>
          <w:b/>
          <w:bCs/>
          <w:kern w:val="0"/>
          <w:szCs w:val="28"/>
        </w:rPr>
        <w:t>1</w:t>
      </w:r>
      <w:r>
        <w:rPr>
          <w:rFonts w:hint="eastAsia"/>
          <w:b/>
          <w:bCs/>
          <w:kern w:val="0"/>
          <w:szCs w:val="28"/>
        </w:rPr>
        <w:t xml:space="preserve">. </w:t>
      </w:r>
      <w:r>
        <w:rPr>
          <w:b/>
          <w:bCs/>
          <w:kern w:val="0"/>
          <w:szCs w:val="28"/>
        </w:rPr>
        <w:t>第一阶段评审</w:t>
      </w:r>
    </w:p>
    <w:p w14:paraId="70472E84">
      <w:pPr>
        <w:keepNext/>
        <w:keepLines/>
        <w:ind w:firstLine="422"/>
        <w:outlineLvl w:val="3"/>
        <w:rPr>
          <w:b/>
          <w:bCs/>
          <w:kern w:val="0"/>
          <w:szCs w:val="28"/>
        </w:rPr>
      </w:pPr>
      <w:r>
        <w:rPr>
          <w:b/>
          <w:bCs/>
          <w:kern w:val="0"/>
          <w:szCs w:val="28"/>
        </w:rPr>
        <w:t>1.1资审文件及商务技术标初步审查</w:t>
      </w:r>
    </w:p>
    <w:p w14:paraId="13914919">
      <w:pPr>
        <w:ind w:firstLine="420"/>
      </w:pPr>
      <w:r>
        <w:t>初审分为资格审查和初步评审。</w:t>
      </w:r>
    </w:p>
    <w:p w14:paraId="23E3CCC2">
      <w:pPr>
        <w:ind w:firstLine="420"/>
      </w:pPr>
      <w:r>
        <w:t>资格审查。依据法律法规和招标文件的规定，对投标文件中的资格证明等进行审查，以确定投标供应商是否具备投标资格。</w:t>
      </w:r>
    </w:p>
    <w:p w14:paraId="3F12E1B9">
      <w:pPr>
        <w:ind w:firstLine="420"/>
      </w:pPr>
      <w:r>
        <w:t>初步评审。依据招标文件的规定，从投标文件的有效性、完整性、投标保证金和对招标文件的响应程度进行审查，以确定是否对招标文件的实质性要求作出响应。</w:t>
      </w:r>
    </w:p>
    <w:p w14:paraId="1A6DC8F7">
      <w:pPr>
        <w:ind w:firstLine="420"/>
        <w:rPr>
          <w:highlight w:val="green"/>
        </w:rPr>
      </w:pPr>
      <w:r>
        <w:t>评标委员会在评审过程中按规定否决不合格投标或界定为无效标后，因有效投标人不足三家的，招标人将重新招标。</w:t>
      </w:r>
    </w:p>
    <w:p w14:paraId="6A4BC80A">
      <w:pPr>
        <w:keepNext/>
        <w:keepLines/>
        <w:ind w:firstLine="422"/>
        <w:outlineLvl w:val="3"/>
        <w:rPr>
          <w:b/>
          <w:bCs/>
          <w:kern w:val="0"/>
          <w:szCs w:val="28"/>
        </w:rPr>
      </w:pPr>
      <w:r>
        <w:rPr>
          <w:b/>
          <w:bCs/>
          <w:kern w:val="0"/>
          <w:szCs w:val="28"/>
        </w:rPr>
        <w:t>1.2商务技术标详细评审</w:t>
      </w:r>
    </w:p>
    <w:p w14:paraId="6852E089">
      <w:pPr>
        <w:ind w:firstLine="420"/>
      </w:pPr>
      <w:r>
        <w:t>评标委员会对初步评审合格的投标文件，依照本办法对技术、商务内容作进一步评审、比较。评标委员会成员经过阅标、审标和询标，对各投标人进行综合评分。</w:t>
      </w:r>
    </w:p>
    <w:p w14:paraId="776426BF">
      <w:pPr>
        <w:ind w:firstLine="420"/>
      </w:pPr>
      <w:r>
        <w:t>详细评审即以招标文件为依据，对所有实质上响应的投标分别从“商务”、“技术”</w:t>
      </w:r>
      <w:r>
        <w:rPr>
          <w:rFonts w:hint="eastAsia"/>
        </w:rPr>
        <w:t>两</w:t>
      </w:r>
      <w:r>
        <w:t>个方面进行评审并按照评分标准进行打分。</w:t>
      </w:r>
    </w:p>
    <w:p w14:paraId="48D59592">
      <w:pPr>
        <w:ind w:firstLine="420"/>
      </w:pPr>
      <w:r>
        <w:t>评委评分参照本部分附表：评分标准表。由各评标委员会成员评分，根据投标人的投标文件，进行独立评分。评委评分采用记名方式，取算术平均分（小数点后保留二位小数）。</w:t>
      </w:r>
    </w:p>
    <w:p w14:paraId="341E5B78">
      <w:pPr>
        <w:ind w:firstLine="420"/>
      </w:pPr>
      <w:r>
        <w:t>如有招标文件未规定的情况出现，则由评标委员会集体讨论决定。</w:t>
      </w:r>
    </w:p>
    <w:p w14:paraId="6B46E209">
      <w:pPr>
        <w:keepNext/>
        <w:keepLines/>
        <w:ind w:firstLine="422"/>
        <w:outlineLvl w:val="3"/>
        <w:rPr>
          <w:b/>
          <w:bCs/>
          <w:kern w:val="0"/>
          <w:szCs w:val="28"/>
        </w:rPr>
      </w:pPr>
      <w:r>
        <w:rPr>
          <w:rFonts w:hint="eastAsia"/>
          <w:b/>
          <w:bCs/>
          <w:kern w:val="0"/>
          <w:szCs w:val="28"/>
        </w:rPr>
        <w:t>2. 第二阶段评审</w:t>
      </w:r>
    </w:p>
    <w:p w14:paraId="57A460A9">
      <w:pPr>
        <w:ind w:firstLine="420" w:firstLineChars="0"/>
      </w:pPr>
      <w:r>
        <w:rPr>
          <w:rFonts w:hint="eastAsia"/>
          <w:b/>
          <w:bCs/>
        </w:rPr>
        <w:t>2.1价格标初步评审</w:t>
      </w:r>
    </w:p>
    <w:p w14:paraId="06002D49">
      <w:pPr>
        <w:ind w:firstLine="420"/>
      </w:pPr>
      <w:r>
        <w:t>依据招标文件的规定，从投标文件的有效性、完整性进行审查，以确定是否对招标文件的实质性要求作出响应。</w:t>
      </w:r>
    </w:p>
    <w:p w14:paraId="27CFD1ED">
      <w:pPr>
        <w:ind w:firstLine="420"/>
      </w:pPr>
      <w:r>
        <w:t>评标委员会在评审过程中按规定否决不合格投标或界定为无效标后，因有效投标人不足三家的，招标人将依法重新招标。</w:t>
      </w:r>
    </w:p>
    <w:p w14:paraId="411A3DDC">
      <w:pPr>
        <w:keepNext/>
        <w:keepLines/>
        <w:ind w:firstLine="422"/>
        <w:outlineLvl w:val="3"/>
        <w:rPr>
          <w:b/>
          <w:bCs/>
          <w:kern w:val="0"/>
          <w:szCs w:val="28"/>
        </w:rPr>
      </w:pPr>
      <w:r>
        <w:rPr>
          <w:b/>
          <w:bCs/>
          <w:kern w:val="0"/>
          <w:szCs w:val="28"/>
        </w:rPr>
        <w:t>2.2价格标详细评审</w:t>
      </w:r>
    </w:p>
    <w:p w14:paraId="049895B3">
      <w:pPr>
        <w:keepNext/>
        <w:keepLines/>
        <w:ind w:firstLine="422"/>
        <w:outlineLvl w:val="3"/>
        <w:rPr>
          <w:b/>
          <w:bCs/>
          <w:kern w:val="0"/>
          <w:szCs w:val="28"/>
        </w:rPr>
      </w:pPr>
      <w:r>
        <w:rPr>
          <w:b/>
          <w:bCs/>
          <w:kern w:val="0"/>
          <w:szCs w:val="28"/>
        </w:rPr>
        <w:t>2.2.1错误修正</w:t>
      </w:r>
    </w:p>
    <w:p w14:paraId="1C07554A">
      <w:pPr>
        <w:ind w:firstLine="420"/>
      </w:pPr>
      <w:r>
        <w:t>投标文件如果出现计算或表达上的错误，修正错误的原则如下：</w:t>
      </w:r>
    </w:p>
    <w:p w14:paraId="005CDFEE">
      <w:pPr>
        <w:ind w:firstLine="420"/>
      </w:pPr>
      <w:r>
        <w:t>（1）投标文件的大写金额和小写金额不一致的，以大写金额为准；</w:t>
      </w:r>
    </w:p>
    <w:p w14:paraId="30CAA707">
      <w:pPr>
        <w:ind w:firstLine="420"/>
      </w:pPr>
      <w:r>
        <w:t>（2）总价金额与按单价汇总金额不一致的，以单价金额计算结果为准；</w:t>
      </w:r>
    </w:p>
    <w:p w14:paraId="1C2D93E8">
      <w:pPr>
        <w:ind w:firstLine="420"/>
      </w:pPr>
      <w:r>
        <w:t>（3）对不同文字文本投标文件的解释发生异议的，以中文文本为准；</w:t>
      </w:r>
    </w:p>
    <w:p w14:paraId="541970EF">
      <w:pPr>
        <w:ind w:firstLine="420"/>
      </w:pPr>
      <w:r>
        <w:t>（4）投标文件中出现前后不一致的情况商务部分以商务标为准，技术部分以技术标为准。</w:t>
      </w:r>
    </w:p>
    <w:p w14:paraId="59CB5EB2">
      <w:pPr>
        <w:ind w:firstLine="422"/>
        <w:rPr>
          <w:b/>
          <w:bCs/>
        </w:rPr>
      </w:pPr>
      <w:r>
        <w:rPr>
          <w:b/>
          <w:bCs/>
        </w:rPr>
        <w:t>按上述修正错误的原则及方法修正投标文件的投标报价，</w:t>
      </w:r>
      <w:r>
        <w:rPr>
          <w:rFonts w:hint="eastAsia"/>
          <w:b/>
          <w:bCs/>
        </w:rPr>
        <w:t>如果投标人接受修正后的报价，则经</w:t>
      </w:r>
      <w:r>
        <w:rPr>
          <w:b/>
          <w:bCs/>
        </w:rPr>
        <w:t>投标人同意并签字确认后，</w:t>
      </w:r>
      <w:r>
        <w:rPr>
          <w:rFonts w:hint="eastAsia"/>
          <w:b/>
          <w:bCs/>
        </w:rPr>
        <w:t>修正</w:t>
      </w:r>
      <w:r>
        <w:rPr>
          <w:b/>
          <w:bCs/>
        </w:rPr>
        <w:t>后的投标报价对投标人具有约束作用</w:t>
      </w:r>
      <w:r>
        <w:rPr>
          <w:rFonts w:hint="eastAsia"/>
          <w:b/>
          <w:bCs/>
        </w:rPr>
        <w:t>；</w:t>
      </w:r>
      <w:r>
        <w:rPr>
          <w:b/>
          <w:bCs/>
        </w:rPr>
        <w:t>如果投标人不接受修正后的报价，则其投标将作为无效投标处理。</w:t>
      </w:r>
    </w:p>
    <w:p w14:paraId="3A22DDBE">
      <w:pPr>
        <w:keepNext/>
        <w:keepLines/>
        <w:ind w:firstLine="422"/>
        <w:outlineLvl w:val="3"/>
        <w:rPr>
          <w:b/>
          <w:bCs/>
          <w:kern w:val="0"/>
          <w:szCs w:val="28"/>
        </w:rPr>
      </w:pPr>
      <w:r>
        <w:rPr>
          <w:rFonts w:hint="eastAsia"/>
          <w:b/>
          <w:bCs/>
          <w:kern w:val="0"/>
          <w:szCs w:val="28"/>
        </w:rPr>
        <w:t>2.2.2</w:t>
      </w:r>
      <w:r>
        <w:rPr>
          <w:b/>
          <w:bCs/>
          <w:kern w:val="0"/>
          <w:szCs w:val="28"/>
        </w:rPr>
        <w:t>价格调整的原则</w:t>
      </w:r>
    </w:p>
    <w:p w14:paraId="43D5CBC5">
      <w:pPr>
        <w:ind w:firstLine="420"/>
      </w:pPr>
      <w:r>
        <w:t>（1）投标人的报价必须包含本次招标范围内所有内容。</w:t>
      </w:r>
    </w:p>
    <w:p w14:paraId="58EFDC61">
      <w:pPr>
        <w:ind w:firstLine="420"/>
      </w:pPr>
      <w:r>
        <w:t>（2）投标人报价如有漏项，则须将其他投标人报价中该项价格的最高价加入该投标人的投标总价，调整后的投标总价作为评标价格。但在签订合同时，调整部分的价格不计入合同总价，投标人必须免费提供漏项项目。</w:t>
      </w:r>
    </w:p>
    <w:p w14:paraId="54FAFC99">
      <w:pPr>
        <w:ind w:firstLine="420"/>
      </w:pPr>
      <w:r>
        <w:t>（3）如投标人的报价包含了招标范围之外的内容，则投标价格不予调整。但在签订合同时，超出部分设备及相应价格应予以剔除。</w:t>
      </w:r>
    </w:p>
    <w:p w14:paraId="40406013">
      <w:pPr>
        <w:ind w:firstLine="420"/>
      </w:pPr>
      <w:r>
        <w:t>（4）如果投标人不接受上述调整原则，则投标文件作无效标处理。</w:t>
      </w:r>
    </w:p>
    <w:p w14:paraId="632127E2">
      <w:pPr>
        <w:ind w:firstLine="420"/>
      </w:pPr>
      <w:r>
        <w:t>（5）调整后的价格作为投标人的评标价，按照相应的价格评分方式评分。</w:t>
      </w:r>
    </w:p>
    <w:p w14:paraId="0950385F">
      <w:pPr>
        <w:ind w:firstLine="420"/>
      </w:pPr>
      <w:r>
        <w:rPr>
          <w:rFonts w:hint="eastAsia"/>
        </w:rPr>
        <w:t>（6）调整后的最终投标报价若超过最高投标限价（如有），评标委员会应否决其投标。</w:t>
      </w:r>
    </w:p>
    <w:p w14:paraId="1A3DDBDF">
      <w:pPr>
        <w:ind w:firstLine="422"/>
      </w:pPr>
      <w:r>
        <w:rPr>
          <w:rFonts w:hint="eastAsia"/>
          <w:b/>
          <w:bCs/>
        </w:rPr>
        <w:t>2.2.3价格标按“评分标准”的要求进行评议，计算价格得分，并由全体评委签字确认（计算结果保留二位小数，第三位四舍五入）。</w:t>
      </w:r>
    </w:p>
    <w:p w14:paraId="63C1662E">
      <w:pPr>
        <w:keepNext/>
        <w:keepLines/>
        <w:ind w:firstLine="422"/>
        <w:outlineLvl w:val="3"/>
        <w:rPr>
          <w:b/>
          <w:bCs/>
          <w:kern w:val="0"/>
          <w:szCs w:val="28"/>
        </w:rPr>
      </w:pPr>
      <w:r>
        <w:rPr>
          <w:rFonts w:hint="eastAsia"/>
          <w:b/>
          <w:bCs/>
          <w:kern w:val="0"/>
          <w:szCs w:val="28"/>
        </w:rPr>
        <w:t xml:space="preserve">3. </w:t>
      </w:r>
      <w:r>
        <w:rPr>
          <w:b/>
          <w:bCs/>
          <w:kern w:val="0"/>
          <w:szCs w:val="28"/>
        </w:rPr>
        <w:t>澄清问题</w:t>
      </w:r>
    </w:p>
    <w:p w14:paraId="6BE9DE17">
      <w:pPr>
        <w:ind w:firstLine="420"/>
      </w:pPr>
      <w:r>
        <w:t>评标委员会可以书面形式要求投标人对投标文件中含义不明确、对同类问题表述不一致或者有明显文字和计算错误的内容作必要的澄清、说明或者纠正。有关澄清的要求和回复均应以书面形式提交，澄清、说明或者纠正必须有法人或法人授权人签字确认，不得超出投标文件的范围或者改变投标文件的实质性内容，且视为投标文件的组成部分，并汇总纳入评标报告。</w:t>
      </w:r>
    </w:p>
    <w:p w14:paraId="3EFF4584">
      <w:pPr>
        <w:keepNext/>
        <w:keepLines/>
        <w:ind w:firstLine="422"/>
        <w:outlineLvl w:val="2"/>
        <w:rPr>
          <w:b/>
          <w:kern w:val="0"/>
        </w:rPr>
      </w:pPr>
      <w:r>
        <w:rPr>
          <w:b/>
          <w:kern w:val="0"/>
        </w:rPr>
        <w:t>（</w:t>
      </w:r>
      <w:r>
        <w:rPr>
          <w:rFonts w:hint="eastAsia"/>
          <w:b/>
          <w:kern w:val="0"/>
        </w:rPr>
        <w:t>四</w:t>
      </w:r>
      <w:r>
        <w:rPr>
          <w:b/>
          <w:kern w:val="0"/>
        </w:rPr>
        <w:t>）评标原则和评标办法</w:t>
      </w:r>
    </w:p>
    <w:p w14:paraId="56600E6F">
      <w:pPr>
        <w:ind w:firstLine="420"/>
      </w:pPr>
      <w:r>
        <w:t>1. 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DE900AA">
      <w:pPr>
        <w:ind w:firstLine="420"/>
        <w:rPr>
          <w:szCs w:val="21"/>
        </w:rPr>
      </w:pPr>
      <w:r>
        <w:t>2. 评标办法。本项目评标办法是</w:t>
      </w:r>
      <w:r>
        <w:rPr>
          <w:b/>
          <w:bCs/>
          <w:u w:val="single"/>
        </w:rPr>
        <w:t>综合评分法</w:t>
      </w:r>
      <w:r>
        <w:t>，具体评标内容及评分标准等详见《第四章：评标办法及评分标准》。</w:t>
      </w:r>
    </w:p>
    <w:p w14:paraId="7224BD99">
      <w:pPr>
        <w:keepNext/>
        <w:keepLines/>
        <w:ind w:firstLine="422"/>
        <w:outlineLvl w:val="2"/>
        <w:rPr>
          <w:b/>
          <w:kern w:val="0"/>
        </w:rPr>
      </w:pPr>
      <w:r>
        <w:rPr>
          <w:b/>
          <w:kern w:val="0"/>
        </w:rPr>
        <w:t>（</w:t>
      </w:r>
      <w:r>
        <w:rPr>
          <w:rFonts w:hint="eastAsia"/>
          <w:b/>
          <w:kern w:val="0"/>
        </w:rPr>
        <w:t>五</w:t>
      </w:r>
      <w:r>
        <w:rPr>
          <w:b/>
          <w:kern w:val="0"/>
        </w:rPr>
        <w:t>）评标过程的监控</w:t>
      </w:r>
    </w:p>
    <w:p w14:paraId="19A91A7B">
      <w:pPr>
        <w:ind w:firstLine="420"/>
      </w:pPr>
      <w:r>
        <w:t>投标人在评标过程中所进行的试图影响评标结果的不公正活动，可能导致其投标被拒绝。</w:t>
      </w:r>
    </w:p>
    <w:p w14:paraId="2A84EA4B">
      <w:pPr>
        <w:keepNext/>
        <w:keepLines/>
        <w:ind w:firstLine="0" w:firstLineChars="0"/>
        <w:outlineLvl w:val="2"/>
        <w:rPr>
          <w:b/>
          <w:kern w:val="0"/>
        </w:rPr>
      </w:pPr>
      <w:r>
        <w:rPr>
          <w:rFonts w:hint="eastAsia"/>
          <w:b/>
          <w:kern w:val="0"/>
        </w:rPr>
        <w:t>七、</w:t>
      </w:r>
      <w:r>
        <w:rPr>
          <w:b/>
          <w:kern w:val="0"/>
        </w:rPr>
        <w:t>定标</w:t>
      </w:r>
    </w:p>
    <w:p w14:paraId="2B630DB0">
      <w:pPr>
        <w:ind w:firstLine="420"/>
      </w:pPr>
      <w:r>
        <w:t>1. 评标结束后，评标结果在浙江省海港集团、宁波舟山港集团电子招标采购平台网站上公示</w:t>
      </w:r>
      <w:r>
        <w:rPr>
          <w:rFonts w:hint="eastAsia"/>
        </w:rPr>
        <w:t>不少于3日</w:t>
      </w:r>
      <w:r>
        <w:t>。</w:t>
      </w:r>
    </w:p>
    <w:p w14:paraId="0F42B45D">
      <w:pPr>
        <w:ind w:firstLine="420"/>
      </w:pPr>
      <w:r>
        <w:t>2. 投标人对评标结果无异议的，招标人将确定排名第一的中标候选人为中标人。如有投标人对评标结果提出质疑的，招标人可在质疑处理完毕后确定中标人。</w:t>
      </w:r>
    </w:p>
    <w:p w14:paraId="517C67E4">
      <w:pPr>
        <w:ind w:firstLine="420"/>
      </w:pPr>
      <w:r>
        <w:t>3. 招标人依法确定中标人后，将在浙江省海港集团、宁波舟山港集团电子招标采购平台发出《中标通知书》。</w:t>
      </w:r>
    </w:p>
    <w:p w14:paraId="0D570A77">
      <w:pPr>
        <w:keepNext/>
        <w:keepLines/>
        <w:ind w:firstLine="0" w:firstLineChars="0"/>
        <w:outlineLvl w:val="2"/>
        <w:rPr>
          <w:b/>
          <w:kern w:val="0"/>
        </w:rPr>
      </w:pPr>
      <w:r>
        <w:rPr>
          <w:rFonts w:hint="eastAsia"/>
          <w:b/>
          <w:kern w:val="0"/>
        </w:rPr>
        <w:t>八、</w:t>
      </w:r>
      <w:r>
        <w:rPr>
          <w:b/>
          <w:kern w:val="0"/>
        </w:rPr>
        <w:t>合同授予</w:t>
      </w:r>
    </w:p>
    <w:p w14:paraId="4CCDBDB8">
      <w:pPr>
        <w:ind w:firstLine="420"/>
      </w:pPr>
      <w:r>
        <w:t>1. 温州金洋集装箱码头有限公司与中标人应当在《中标通知书》发出之日起30日内签订合同。同时对合同内容进行审查，如发现与招标结果和投标承诺内容不一致的，应予以纠正。</w:t>
      </w:r>
    </w:p>
    <w:p w14:paraId="47768F83">
      <w:pPr>
        <w:ind w:firstLine="420"/>
      </w:pPr>
      <w:r>
        <w:t>2. 中标人拖延、拒签合同的，将被扣罚投标保证金并取消中标资格。</w:t>
      </w:r>
    </w:p>
    <w:p w14:paraId="1546551E">
      <w:pPr>
        <w:pStyle w:val="3"/>
      </w:pPr>
      <w:r>
        <w:rPr>
          <w:sz w:val="21"/>
          <w:szCs w:val="21"/>
        </w:rPr>
        <w:br w:type="page"/>
      </w:r>
      <w:bookmarkStart w:id="21" w:name="_Toc11581"/>
      <w:r>
        <w:t>第</w:t>
      </w:r>
      <w:bookmarkStart w:id="22" w:name="_Toc1645"/>
      <w:r>
        <w:t>四章  评标办法及评分标准</w:t>
      </w:r>
      <w:bookmarkEnd w:id="21"/>
    </w:p>
    <w:p w14:paraId="0C7D10F1">
      <w:pPr>
        <w:pStyle w:val="4"/>
        <w:spacing w:before="156"/>
        <w:rPr>
          <w:color w:val="auto"/>
          <w:sz w:val="21"/>
        </w:rPr>
      </w:pPr>
      <w:r>
        <w:rPr>
          <w:color w:val="auto"/>
          <w:sz w:val="21"/>
        </w:rPr>
        <w:t>一、总则</w:t>
      </w:r>
    </w:p>
    <w:p w14:paraId="5392B5BD">
      <w:pPr>
        <w:ind w:firstLine="420"/>
        <w:rPr>
          <w:szCs w:val="21"/>
        </w:rPr>
      </w:pPr>
      <w:r>
        <w:rPr>
          <w:rFonts w:hint="eastAsia"/>
          <w:szCs w:val="21"/>
        </w:rPr>
        <w:t>温州金洋集装箱码头有限公司超融合升级扩容</w:t>
      </w:r>
      <w:r>
        <w:rPr>
          <w:szCs w:val="21"/>
        </w:rPr>
        <w:t>采取公开招标形式选择投标人。为保证招标“公开、公平、公正”，根据相关法律、法规，结合本项目的特点，制定本评标办法。</w:t>
      </w:r>
    </w:p>
    <w:p w14:paraId="18270FAE">
      <w:pPr>
        <w:snapToGrid w:val="0"/>
        <w:spacing w:before="156" w:beforeLines="50"/>
        <w:ind w:firstLine="0" w:firstLineChars="0"/>
        <w:outlineLvl w:val="1"/>
        <w:rPr>
          <w:b/>
          <w:sz w:val="24"/>
          <w:szCs w:val="21"/>
        </w:rPr>
      </w:pPr>
      <w:r>
        <w:rPr>
          <w:b/>
          <w:sz w:val="24"/>
          <w:szCs w:val="21"/>
        </w:rPr>
        <w:t>二、评标组织</w:t>
      </w:r>
    </w:p>
    <w:p w14:paraId="19C08C2B">
      <w:pPr>
        <w:ind w:firstLine="420"/>
      </w:pPr>
      <w:r>
        <w:t>评标委员会：根据项目的内容特点按照浙江省海港集团、宁波舟山港集团有限公司相关规定组建评标委员会。评标委员会由招标人代表、技术及经济方面专家等有关人员组成。</w:t>
      </w:r>
    </w:p>
    <w:p w14:paraId="2921FE3E">
      <w:pPr>
        <w:snapToGrid w:val="0"/>
        <w:spacing w:before="156" w:beforeLines="50"/>
        <w:ind w:firstLine="0" w:firstLineChars="0"/>
        <w:outlineLvl w:val="1"/>
        <w:rPr>
          <w:b/>
          <w:sz w:val="24"/>
          <w:szCs w:val="21"/>
        </w:rPr>
      </w:pPr>
      <w:r>
        <w:rPr>
          <w:b/>
          <w:sz w:val="24"/>
          <w:szCs w:val="21"/>
        </w:rPr>
        <w:t>三、评标程序</w:t>
      </w:r>
    </w:p>
    <w:p w14:paraId="6C6A746C">
      <w:pPr>
        <w:keepNext/>
        <w:keepLines/>
        <w:ind w:firstLine="422"/>
        <w:outlineLvl w:val="3"/>
        <w:rPr>
          <w:b/>
          <w:bCs/>
          <w:kern w:val="0"/>
          <w:szCs w:val="28"/>
        </w:rPr>
      </w:pPr>
      <w:r>
        <w:rPr>
          <w:b/>
          <w:bCs/>
          <w:kern w:val="0"/>
          <w:szCs w:val="28"/>
        </w:rPr>
        <w:t>1</w:t>
      </w:r>
      <w:r>
        <w:rPr>
          <w:rFonts w:hint="eastAsia"/>
          <w:b/>
          <w:bCs/>
          <w:kern w:val="0"/>
          <w:szCs w:val="28"/>
        </w:rPr>
        <w:t xml:space="preserve">. </w:t>
      </w:r>
      <w:r>
        <w:rPr>
          <w:b/>
          <w:bCs/>
          <w:kern w:val="0"/>
          <w:szCs w:val="28"/>
        </w:rPr>
        <w:t>第一阶段评审</w:t>
      </w:r>
    </w:p>
    <w:p w14:paraId="67B5FB8B">
      <w:pPr>
        <w:keepNext/>
        <w:keepLines/>
        <w:ind w:firstLine="422"/>
        <w:outlineLvl w:val="3"/>
        <w:rPr>
          <w:b/>
          <w:bCs/>
          <w:kern w:val="0"/>
          <w:szCs w:val="28"/>
        </w:rPr>
      </w:pPr>
      <w:r>
        <w:rPr>
          <w:b/>
          <w:bCs/>
          <w:kern w:val="0"/>
          <w:szCs w:val="28"/>
        </w:rPr>
        <w:t>1.1资审文件及商务技术标初步审查</w:t>
      </w:r>
    </w:p>
    <w:p w14:paraId="7ACDF871">
      <w:pPr>
        <w:ind w:firstLine="420"/>
      </w:pPr>
      <w:r>
        <w:t>初审分为资格审查和初步评审。</w:t>
      </w:r>
    </w:p>
    <w:p w14:paraId="449C08E2">
      <w:pPr>
        <w:ind w:firstLine="420"/>
      </w:pPr>
      <w:r>
        <w:t>资格审查。依据法律法规和招标文件的规定，对投标文件中的资格证明等进行审查，以确定投标供应商是否具备投标资格。</w:t>
      </w:r>
    </w:p>
    <w:p w14:paraId="15A5FC15">
      <w:pPr>
        <w:ind w:firstLine="420"/>
      </w:pPr>
      <w:r>
        <w:t>初步评审。依据招标文件的规定，从投标文件的有效性、完整性、投标保证金和对招标文件的响应程度进行审查，以确定是否对招标文件的实质性要求作出响应。</w:t>
      </w:r>
    </w:p>
    <w:p w14:paraId="4D71E110">
      <w:pPr>
        <w:ind w:firstLine="420"/>
      </w:pPr>
      <w:r>
        <w:t>评标委员会在评审过程中按规定否决不合格投标或界定为无效标后，因有效投标人不足三家的，招标人将依法重新招标。</w:t>
      </w:r>
    </w:p>
    <w:p w14:paraId="7E868AAC">
      <w:pPr>
        <w:keepNext/>
        <w:keepLines/>
        <w:ind w:firstLine="422"/>
        <w:outlineLvl w:val="3"/>
        <w:rPr>
          <w:b/>
          <w:bCs/>
          <w:kern w:val="0"/>
          <w:szCs w:val="28"/>
        </w:rPr>
      </w:pPr>
      <w:r>
        <w:rPr>
          <w:b/>
          <w:bCs/>
          <w:kern w:val="0"/>
          <w:szCs w:val="28"/>
        </w:rPr>
        <w:t>1.2商务技术标详细评审</w:t>
      </w:r>
    </w:p>
    <w:p w14:paraId="5F60CB7C">
      <w:pPr>
        <w:ind w:firstLine="420"/>
      </w:pPr>
      <w:r>
        <w:t>评标委员会对初步评审合格的投标文件，依照本办法对技术、商务内容作进一步评审、比较。评标委员会成员经过阅标、审标和询标，对各投标人进行综合评分。</w:t>
      </w:r>
    </w:p>
    <w:p w14:paraId="761FB8F4">
      <w:pPr>
        <w:ind w:firstLine="420"/>
      </w:pPr>
      <w:r>
        <w:t>详细评审即以招标文件为依据，对所有实质上响应的投标分别从“商务”、“技术”</w:t>
      </w:r>
      <w:r>
        <w:rPr>
          <w:rFonts w:hint="eastAsia"/>
        </w:rPr>
        <w:t>两</w:t>
      </w:r>
      <w:r>
        <w:t>个方面进行评审并按照评分标准进行打分。</w:t>
      </w:r>
    </w:p>
    <w:p w14:paraId="36B8CE15">
      <w:pPr>
        <w:ind w:firstLine="420"/>
      </w:pPr>
      <w:r>
        <w:t>评委评分参照本部分附表：评分标准表。由各评标委员会成员评分，根据投标人的投标文件，进行独立评分。评委评分采用记名方式，取算术平均分（小数点后保留二位小数）。</w:t>
      </w:r>
    </w:p>
    <w:p w14:paraId="7C39A6FB">
      <w:pPr>
        <w:ind w:firstLine="420"/>
      </w:pPr>
      <w:r>
        <w:t>如有招标文件未规定的情况出现，则由评标委员会集体讨论决定。</w:t>
      </w:r>
    </w:p>
    <w:p w14:paraId="55CEA17A">
      <w:pPr>
        <w:keepNext/>
        <w:keepLines/>
        <w:ind w:firstLine="422"/>
        <w:outlineLvl w:val="3"/>
        <w:rPr>
          <w:b/>
          <w:bCs/>
          <w:kern w:val="0"/>
          <w:szCs w:val="28"/>
        </w:rPr>
      </w:pPr>
      <w:r>
        <w:rPr>
          <w:rFonts w:hint="eastAsia"/>
          <w:b/>
          <w:bCs/>
          <w:kern w:val="0"/>
          <w:szCs w:val="28"/>
        </w:rPr>
        <w:t>2. 第二阶段评审</w:t>
      </w:r>
    </w:p>
    <w:p w14:paraId="78513C16">
      <w:pPr>
        <w:ind w:firstLine="420" w:firstLineChars="0"/>
      </w:pPr>
      <w:r>
        <w:rPr>
          <w:rFonts w:hint="eastAsia"/>
          <w:b/>
          <w:bCs/>
        </w:rPr>
        <w:t>2.1价格标初步评审</w:t>
      </w:r>
    </w:p>
    <w:p w14:paraId="5DE8D92D">
      <w:pPr>
        <w:ind w:firstLine="420"/>
      </w:pPr>
      <w:r>
        <w:t>依据招标文件的规定，从投标文件的有效性、完整性进行审查，以确定是否对招标文件的实质性要求作出响应。</w:t>
      </w:r>
    </w:p>
    <w:p w14:paraId="53A50837">
      <w:pPr>
        <w:ind w:firstLine="420"/>
      </w:pPr>
      <w:r>
        <w:t>评标委员会在评审过程中按规定否决不合格投标或界定为无效标后，因有效投标人不足三家的，招标人将重新招标。</w:t>
      </w:r>
    </w:p>
    <w:p w14:paraId="7879A02D">
      <w:pPr>
        <w:keepNext/>
        <w:keepLines/>
        <w:ind w:firstLine="422"/>
        <w:outlineLvl w:val="3"/>
        <w:rPr>
          <w:b/>
          <w:bCs/>
          <w:kern w:val="0"/>
          <w:szCs w:val="28"/>
        </w:rPr>
      </w:pPr>
      <w:r>
        <w:rPr>
          <w:b/>
          <w:bCs/>
          <w:kern w:val="0"/>
          <w:szCs w:val="28"/>
        </w:rPr>
        <w:t>2.2价格标详细评审</w:t>
      </w:r>
    </w:p>
    <w:p w14:paraId="605830E8">
      <w:pPr>
        <w:keepNext/>
        <w:keepLines/>
        <w:ind w:firstLine="422"/>
        <w:outlineLvl w:val="3"/>
        <w:rPr>
          <w:b/>
          <w:bCs/>
          <w:kern w:val="0"/>
          <w:szCs w:val="28"/>
        </w:rPr>
      </w:pPr>
      <w:r>
        <w:rPr>
          <w:b/>
          <w:bCs/>
          <w:kern w:val="0"/>
          <w:szCs w:val="28"/>
        </w:rPr>
        <w:t>2.2.1错误修正</w:t>
      </w:r>
    </w:p>
    <w:p w14:paraId="7F68429C">
      <w:pPr>
        <w:ind w:firstLine="420"/>
      </w:pPr>
      <w:r>
        <w:t>投标文件如果出现计算或表达上的错误，修正错误的原则如下：</w:t>
      </w:r>
    </w:p>
    <w:p w14:paraId="5685659A">
      <w:pPr>
        <w:ind w:firstLine="420"/>
      </w:pPr>
      <w:r>
        <w:t>（1）投标文件的大写金额和小写金额不一致的，以大写金额为准；</w:t>
      </w:r>
    </w:p>
    <w:p w14:paraId="2F89DFF1">
      <w:pPr>
        <w:ind w:firstLine="420"/>
      </w:pPr>
      <w:r>
        <w:t>（2）总价金额与按单价汇总金额不一致的，以单价金额计算结果为准；</w:t>
      </w:r>
    </w:p>
    <w:p w14:paraId="331A2639">
      <w:pPr>
        <w:ind w:firstLine="420"/>
      </w:pPr>
      <w:r>
        <w:t>（3）对不同文字文本投标文件的解释发生异议的，以中文文本为准；</w:t>
      </w:r>
    </w:p>
    <w:p w14:paraId="2EE4BF93">
      <w:pPr>
        <w:ind w:firstLine="420"/>
      </w:pPr>
      <w:r>
        <w:t>（4）投标文件中出现前后不一致的情况商务部分以商务标为准，技术部分以技术标为准。</w:t>
      </w:r>
    </w:p>
    <w:p w14:paraId="1CDA5B88">
      <w:pPr>
        <w:ind w:firstLine="422"/>
        <w:rPr>
          <w:b/>
          <w:bCs/>
        </w:rPr>
      </w:pPr>
      <w:r>
        <w:rPr>
          <w:b/>
          <w:bCs/>
        </w:rPr>
        <w:t>按上述修正错误的原则及方法修正投标文件的投标报价，</w:t>
      </w:r>
      <w:r>
        <w:rPr>
          <w:rFonts w:hint="eastAsia"/>
          <w:b/>
          <w:bCs/>
        </w:rPr>
        <w:t>如果投标人接受修正后的报价，则经</w:t>
      </w:r>
      <w:r>
        <w:rPr>
          <w:b/>
          <w:bCs/>
        </w:rPr>
        <w:t>投标人同意并签字确认后，</w:t>
      </w:r>
      <w:r>
        <w:rPr>
          <w:rFonts w:hint="eastAsia"/>
          <w:b/>
          <w:bCs/>
        </w:rPr>
        <w:t>修正</w:t>
      </w:r>
      <w:r>
        <w:rPr>
          <w:b/>
          <w:bCs/>
        </w:rPr>
        <w:t>后的投标报价对投标人具有约束作用</w:t>
      </w:r>
      <w:r>
        <w:rPr>
          <w:rFonts w:hint="eastAsia"/>
          <w:b/>
          <w:bCs/>
        </w:rPr>
        <w:t>；</w:t>
      </w:r>
      <w:r>
        <w:rPr>
          <w:b/>
          <w:bCs/>
        </w:rPr>
        <w:t>如果投标人不接受修正后的报价，则其投标将作为无效投标处理。</w:t>
      </w:r>
    </w:p>
    <w:p w14:paraId="443D2757">
      <w:pPr>
        <w:keepNext/>
        <w:keepLines/>
        <w:ind w:firstLine="422"/>
        <w:outlineLvl w:val="3"/>
        <w:rPr>
          <w:b/>
          <w:bCs/>
          <w:kern w:val="0"/>
          <w:szCs w:val="28"/>
        </w:rPr>
      </w:pPr>
      <w:r>
        <w:rPr>
          <w:rFonts w:hint="eastAsia"/>
          <w:b/>
          <w:bCs/>
          <w:kern w:val="0"/>
          <w:szCs w:val="28"/>
        </w:rPr>
        <w:t>2.2.2</w:t>
      </w:r>
      <w:r>
        <w:rPr>
          <w:b/>
          <w:bCs/>
          <w:kern w:val="0"/>
          <w:szCs w:val="28"/>
        </w:rPr>
        <w:t>价格调整的原则</w:t>
      </w:r>
    </w:p>
    <w:p w14:paraId="3D9BB25B">
      <w:pPr>
        <w:ind w:firstLine="420"/>
      </w:pPr>
      <w:r>
        <w:t>（1）投标人的报价必须包含本次招标范围内所有内容。</w:t>
      </w:r>
    </w:p>
    <w:p w14:paraId="67F19BB9">
      <w:pPr>
        <w:ind w:firstLine="420"/>
      </w:pPr>
      <w:r>
        <w:t>（2）投标人报价如有漏项，则须将其他投标人报价中该项价格的最高价加入该投标人的投标总价，调整后的投标总价作为评标价格。但在签订合同时，调整部分的价格不计入合同总价，投标人必须免费提供漏项项目。</w:t>
      </w:r>
    </w:p>
    <w:p w14:paraId="2C5174C8">
      <w:pPr>
        <w:ind w:firstLine="420"/>
      </w:pPr>
      <w:r>
        <w:t>（3）如投标人的报价包含了招标范围之外的内容，则投标价格不予调整。但在签订合同时，超出部分设备及相应价格应予以剔除。</w:t>
      </w:r>
    </w:p>
    <w:p w14:paraId="0BC61C28">
      <w:pPr>
        <w:ind w:firstLine="420"/>
      </w:pPr>
      <w:r>
        <w:t>（4）如果投标人不接受上述调整原则，则投标文件作无效标处理。</w:t>
      </w:r>
    </w:p>
    <w:p w14:paraId="14C42A44">
      <w:pPr>
        <w:ind w:firstLine="420"/>
      </w:pPr>
      <w:r>
        <w:t>（5）调整后的价格作为投标人的评标价，按照相应的价格评分方式评分。</w:t>
      </w:r>
    </w:p>
    <w:p w14:paraId="47286223">
      <w:pPr>
        <w:ind w:firstLine="420"/>
      </w:pPr>
      <w:r>
        <w:rPr>
          <w:rFonts w:hint="eastAsia"/>
        </w:rPr>
        <w:t>（6）调整后的最终投标报价若超过最高投标限价（如有），评标委员会应否决其投标。</w:t>
      </w:r>
    </w:p>
    <w:p w14:paraId="2686C425">
      <w:pPr>
        <w:ind w:firstLine="422"/>
      </w:pPr>
      <w:r>
        <w:rPr>
          <w:rFonts w:hint="eastAsia"/>
          <w:b/>
          <w:bCs/>
        </w:rPr>
        <w:t>2.2.3价格标按“评分标准”的要求进行评议，计算价格得分，并由全体评委签字确认（计算结果保留二位小数，第三位四舍五入）。</w:t>
      </w:r>
    </w:p>
    <w:p w14:paraId="2CE75790">
      <w:pPr>
        <w:keepNext/>
        <w:keepLines/>
        <w:ind w:firstLine="422"/>
        <w:outlineLvl w:val="3"/>
        <w:rPr>
          <w:b/>
          <w:bCs/>
          <w:kern w:val="0"/>
          <w:szCs w:val="28"/>
        </w:rPr>
      </w:pPr>
      <w:r>
        <w:rPr>
          <w:rFonts w:hint="eastAsia"/>
          <w:b/>
          <w:bCs/>
          <w:kern w:val="0"/>
          <w:szCs w:val="28"/>
        </w:rPr>
        <w:t xml:space="preserve">3. </w:t>
      </w:r>
      <w:r>
        <w:rPr>
          <w:b/>
          <w:bCs/>
          <w:kern w:val="0"/>
          <w:szCs w:val="28"/>
        </w:rPr>
        <w:t>澄清问题</w:t>
      </w:r>
    </w:p>
    <w:p w14:paraId="7EC064F1">
      <w:pPr>
        <w:ind w:firstLine="420"/>
      </w:pPr>
      <w:r>
        <w:t>评标委员会可以书面形式要求投标人对投标文件中含义不明确、对同类问题表述不一致或者有明显文字和计算错误的内容作必要的澄清、说明或者纠正。有关澄清的要求和回复均应以书面形式提交，澄清、说明或者纠正必须有法人或法人授权人签字确认，不得超出投标文件的范围或者改变投标文件的实质性内容，且视为投标文件的组成部分，并汇总纳入评标报告。</w:t>
      </w:r>
    </w:p>
    <w:p w14:paraId="6E6DDAF1">
      <w:pPr>
        <w:keepNext/>
        <w:keepLines/>
        <w:ind w:firstLine="422"/>
        <w:outlineLvl w:val="3"/>
        <w:rPr>
          <w:b/>
          <w:bCs/>
          <w:kern w:val="0"/>
          <w:szCs w:val="28"/>
        </w:rPr>
      </w:pPr>
      <w:r>
        <w:rPr>
          <w:rFonts w:hint="eastAsia"/>
          <w:b/>
          <w:bCs/>
          <w:kern w:val="0"/>
          <w:szCs w:val="28"/>
        </w:rPr>
        <w:t xml:space="preserve">4. </w:t>
      </w:r>
      <w:r>
        <w:rPr>
          <w:b/>
          <w:bCs/>
          <w:kern w:val="0"/>
          <w:szCs w:val="28"/>
        </w:rPr>
        <w:t>中标原则</w:t>
      </w:r>
    </w:p>
    <w:p w14:paraId="62A778E1">
      <w:pPr>
        <w:ind w:firstLine="422"/>
        <w:rPr>
          <w:b/>
          <w:bCs/>
        </w:rPr>
      </w:pPr>
      <w:r>
        <w:rPr>
          <w:b/>
          <w:bCs/>
        </w:rPr>
        <w:t>评标委员会根据各投标人的综合得分高低排定顺序，推荐综合得分最高的投标人为第一中标候选人；综合得分第二的投标人为第二中标候选人。如投标人的综合得分相同，则投标价低者优先；如投标价也相同，则技术分高者优先；如技术分也相同，则由</w:t>
      </w:r>
      <w:r>
        <w:rPr>
          <w:rFonts w:hint="eastAsia"/>
          <w:b/>
          <w:bCs/>
        </w:rPr>
        <w:t>招</w:t>
      </w:r>
      <w:r>
        <w:rPr>
          <w:b/>
          <w:bCs/>
        </w:rPr>
        <w:t>标人抽签决定。</w:t>
      </w:r>
    </w:p>
    <w:p w14:paraId="2400FB9C">
      <w:pPr>
        <w:keepNext/>
        <w:keepLines/>
        <w:ind w:firstLine="422"/>
        <w:outlineLvl w:val="3"/>
        <w:rPr>
          <w:b/>
          <w:bCs/>
          <w:kern w:val="0"/>
          <w:szCs w:val="28"/>
        </w:rPr>
      </w:pPr>
      <w:r>
        <w:rPr>
          <w:rFonts w:hint="eastAsia"/>
          <w:b/>
          <w:bCs/>
          <w:kern w:val="0"/>
          <w:szCs w:val="28"/>
        </w:rPr>
        <w:t>5. 评标</w:t>
      </w:r>
      <w:r>
        <w:rPr>
          <w:b/>
          <w:bCs/>
          <w:kern w:val="0"/>
          <w:szCs w:val="28"/>
        </w:rPr>
        <w:t>结果</w:t>
      </w:r>
    </w:p>
    <w:p w14:paraId="5D643B72">
      <w:pPr>
        <w:ind w:firstLine="420"/>
      </w:pPr>
      <w:r>
        <w:t>招标人将中标结果在浙江省海港集团、宁波舟山港集团电子招标采购平台上公示，根据公示和决标结果，向中标人发出中标通知书。</w:t>
      </w:r>
    </w:p>
    <w:p w14:paraId="7553B4F5">
      <w:pPr>
        <w:ind w:firstLine="420"/>
      </w:pPr>
      <w:r>
        <w:t>中标人如因自身原因放弃中标或因不可抗力不能履行合同或未按招标文件及投标文件承诺履行的，招标人可选择第二中标候选人为中标人或重新招标。</w:t>
      </w:r>
    </w:p>
    <w:p w14:paraId="55416E56">
      <w:pPr>
        <w:pStyle w:val="4"/>
        <w:spacing w:before="156"/>
        <w:rPr>
          <w:color w:val="auto"/>
          <w:sz w:val="21"/>
        </w:rPr>
      </w:pPr>
      <w:r>
        <w:rPr>
          <w:rFonts w:hint="eastAsia"/>
          <w:color w:val="auto"/>
          <w:sz w:val="21"/>
        </w:rPr>
        <w:t>四、</w:t>
      </w:r>
      <w:r>
        <w:rPr>
          <w:color w:val="auto"/>
          <w:sz w:val="21"/>
        </w:rPr>
        <w:t>评分标准</w:t>
      </w:r>
      <w:bookmarkEnd w:id="22"/>
      <w:bookmarkStart w:id="23" w:name="_Toc16873"/>
      <w:bookmarkStart w:id="24" w:name="_Toc317116871"/>
    </w:p>
    <w:p w14:paraId="65651E38">
      <w:pPr>
        <w:ind w:firstLine="420"/>
        <w:rPr>
          <w:szCs w:val="21"/>
        </w:rPr>
      </w:pPr>
      <w:r>
        <w:rPr>
          <w:szCs w:val="21"/>
        </w:rPr>
        <w:t>本项目评审办法是综合评分法。</w:t>
      </w:r>
    </w:p>
    <w:p w14:paraId="7DC20D65">
      <w:pPr>
        <w:ind w:firstLine="420"/>
        <w:rPr>
          <w:szCs w:val="21"/>
        </w:rPr>
      </w:pPr>
      <w:r>
        <w:rPr>
          <w:szCs w:val="21"/>
        </w:rPr>
        <w:t>满分100分，综合评分包括商务资信、技术和价格评分。</w:t>
      </w:r>
    </w:p>
    <w:p w14:paraId="60BCF054">
      <w:pPr>
        <w:ind w:firstLine="420"/>
        <w:rPr>
          <w:szCs w:val="21"/>
        </w:rPr>
      </w:pPr>
      <w:r>
        <w:rPr>
          <w:szCs w:val="21"/>
        </w:rPr>
        <w:t>商务技术部分、价格部分评分，评标因素及标准详见附表。</w:t>
      </w:r>
    </w:p>
    <w:p w14:paraId="3B23ADBE">
      <w:pPr>
        <w:ind w:firstLine="422"/>
      </w:pPr>
      <w:r>
        <w:rPr>
          <w:rFonts w:hint="eastAsia"/>
          <w:b/>
          <w:bCs/>
        </w:rPr>
        <w:t>第一阶段评审</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454"/>
        <w:gridCol w:w="6481"/>
      </w:tblGrid>
      <w:tr w14:paraId="2D63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00" w:type="pct"/>
            <w:gridSpan w:val="2"/>
            <w:vAlign w:val="center"/>
          </w:tcPr>
          <w:p w14:paraId="72DFA916">
            <w:pPr>
              <w:adjustRightInd w:val="0"/>
              <w:snapToGrid w:val="0"/>
              <w:spacing w:line="400" w:lineRule="exact"/>
              <w:ind w:firstLine="420"/>
              <w:jc w:val="center"/>
              <w:rPr>
                <w:rFonts w:eastAsia="Times New Roman"/>
                <w:szCs w:val="21"/>
              </w:rPr>
            </w:pPr>
            <w:r>
              <w:rPr>
                <w:rFonts w:hint="eastAsia" w:eastAsia="Times New Roman"/>
                <w:szCs w:val="21"/>
              </w:rPr>
              <w:t>评分因素</w:t>
            </w:r>
          </w:p>
        </w:tc>
        <w:tc>
          <w:tcPr>
            <w:tcW w:w="3699" w:type="pct"/>
            <w:vAlign w:val="center"/>
          </w:tcPr>
          <w:p w14:paraId="1602A070">
            <w:pPr>
              <w:adjustRightInd w:val="0"/>
              <w:snapToGrid w:val="0"/>
              <w:spacing w:line="400" w:lineRule="exact"/>
              <w:ind w:firstLine="0" w:firstLineChars="0"/>
              <w:jc w:val="center"/>
              <w:rPr>
                <w:rFonts w:eastAsia="Times New Roman"/>
                <w:szCs w:val="21"/>
              </w:rPr>
            </w:pPr>
            <w:r>
              <w:rPr>
                <w:rFonts w:hint="eastAsia" w:eastAsia="Times New Roman"/>
                <w:szCs w:val="21"/>
              </w:rPr>
              <w:t>评分标准说明</w:t>
            </w:r>
          </w:p>
        </w:tc>
      </w:tr>
      <w:tr w14:paraId="6B63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70" w:type="pct"/>
            <w:vMerge w:val="restart"/>
            <w:vAlign w:val="center"/>
          </w:tcPr>
          <w:p w14:paraId="63CF161B">
            <w:pPr>
              <w:widowControl/>
              <w:adjustRightInd w:val="0"/>
              <w:snapToGrid w:val="0"/>
              <w:ind w:firstLine="0" w:firstLineChars="0"/>
              <w:jc w:val="left"/>
              <w:rPr>
                <w:szCs w:val="21"/>
              </w:rPr>
            </w:pPr>
            <w:r>
              <w:rPr>
                <w:rFonts w:hint="eastAsia" w:ascii="宋体" w:hAnsi="宋体" w:cs="宋体"/>
                <w:szCs w:val="21"/>
              </w:rPr>
              <w:t>商务技术分15分</w:t>
            </w:r>
          </w:p>
        </w:tc>
        <w:tc>
          <w:tcPr>
            <w:tcW w:w="830" w:type="pct"/>
            <w:vAlign w:val="center"/>
          </w:tcPr>
          <w:p w14:paraId="29F25DAA">
            <w:pPr>
              <w:ind w:firstLine="0" w:firstLineChars="0"/>
              <w:jc w:val="center"/>
              <w:rPr>
                <w:rFonts w:ascii="宋体" w:hAnsi="宋体" w:cs="宋体"/>
                <w:szCs w:val="18"/>
              </w:rPr>
            </w:pPr>
            <w:r>
              <w:rPr>
                <w:rFonts w:hint="eastAsia" w:ascii="宋体" w:hAnsi="宋体" w:cs="宋体"/>
                <w:szCs w:val="18"/>
              </w:rPr>
              <w:t>供应商实力</w:t>
            </w:r>
          </w:p>
          <w:p w14:paraId="492CA62F">
            <w:pPr>
              <w:ind w:firstLine="0" w:firstLineChars="0"/>
              <w:jc w:val="center"/>
              <w:rPr>
                <w:rFonts w:ascii="宋体" w:hAnsi="宋体" w:cs="宋体"/>
                <w:kern w:val="0"/>
                <w:szCs w:val="21"/>
              </w:rPr>
            </w:pPr>
            <w:r>
              <w:rPr>
                <w:rFonts w:hint="eastAsia" w:ascii="宋体" w:hAnsi="宋体" w:cs="宋体"/>
                <w:szCs w:val="21"/>
                <w:lang w:bidi="ar"/>
              </w:rPr>
              <w:t>（2分）</w:t>
            </w:r>
          </w:p>
        </w:tc>
        <w:tc>
          <w:tcPr>
            <w:tcW w:w="3699" w:type="pct"/>
            <w:vAlign w:val="center"/>
          </w:tcPr>
          <w:p w14:paraId="281BAE7A">
            <w:pPr>
              <w:ind w:firstLine="0" w:firstLineChars="0"/>
              <w:jc w:val="left"/>
              <w:rPr>
                <w:rFonts w:ascii="宋体" w:hAnsi="宋体" w:cs="宋体"/>
                <w:b/>
                <w:bCs/>
                <w:szCs w:val="21"/>
              </w:rPr>
            </w:pPr>
            <w:r>
              <w:rPr>
                <w:rFonts w:hint="eastAsia" w:ascii="宋体" w:hAnsi="宋体" w:cs="宋体"/>
                <w:szCs w:val="21"/>
              </w:rPr>
              <w:t>根据投标人的财务营业收入、企业综合实力等做横向综合比较，进行评分：优2分，良1分，一般0.5分。</w:t>
            </w:r>
          </w:p>
          <w:p w14:paraId="30379E8C">
            <w:pPr>
              <w:ind w:firstLine="0" w:firstLineChars="0"/>
              <w:jc w:val="left"/>
              <w:rPr>
                <w:rFonts w:ascii="宋体" w:hAnsi="宋体" w:cs="宋体"/>
                <w:kern w:val="0"/>
                <w:szCs w:val="21"/>
              </w:rPr>
            </w:pPr>
            <w:r>
              <w:rPr>
                <w:rFonts w:hint="eastAsia" w:ascii="宋体" w:hAnsi="宋体" w:cs="宋体"/>
                <w:b/>
                <w:bCs/>
                <w:szCs w:val="21"/>
              </w:rPr>
              <w:t>投标文件中需提供经第三方审计的2024年、2025年财务报表。</w:t>
            </w:r>
          </w:p>
        </w:tc>
      </w:tr>
      <w:tr w14:paraId="4F9C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470" w:type="pct"/>
            <w:vMerge w:val="continue"/>
            <w:vAlign w:val="center"/>
          </w:tcPr>
          <w:p w14:paraId="4B6E1C75">
            <w:pPr>
              <w:widowControl/>
              <w:adjustRightInd w:val="0"/>
              <w:snapToGrid w:val="0"/>
              <w:ind w:firstLine="420"/>
              <w:jc w:val="left"/>
              <w:rPr>
                <w:rFonts w:eastAsia="Times New Roman"/>
                <w:szCs w:val="21"/>
              </w:rPr>
            </w:pPr>
          </w:p>
        </w:tc>
        <w:tc>
          <w:tcPr>
            <w:tcW w:w="830" w:type="pct"/>
            <w:vAlign w:val="center"/>
          </w:tcPr>
          <w:p w14:paraId="24F37AB8">
            <w:pPr>
              <w:ind w:firstLine="0" w:firstLineChars="0"/>
              <w:jc w:val="center"/>
              <w:rPr>
                <w:rFonts w:ascii="宋体" w:hAnsi="宋体" w:cs="宋体"/>
                <w:szCs w:val="18"/>
              </w:rPr>
            </w:pPr>
            <w:r>
              <w:rPr>
                <w:rFonts w:hint="eastAsia" w:ascii="宋体" w:hAnsi="宋体" w:cs="宋体"/>
                <w:szCs w:val="18"/>
              </w:rPr>
              <w:t>业绩</w:t>
            </w:r>
          </w:p>
          <w:p w14:paraId="634C0F38">
            <w:pPr>
              <w:ind w:firstLine="0" w:firstLineChars="0"/>
              <w:jc w:val="center"/>
              <w:rPr>
                <w:rFonts w:ascii="宋体" w:hAnsi="宋体" w:cs="宋体"/>
                <w:szCs w:val="18"/>
              </w:rPr>
            </w:pPr>
            <w:r>
              <w:rPr>
                <w:rFonts w:hint="eastAsia" w:ascii="宋体" w:hAnsi="宋体" w:cs="宋体"/>
                <w:szCs w:val="21"/>
                <w:lang w:bidi="ar"/>
              </w:rPr>
              <w:t>（3分）</w:t>
            </w:r>
          </w:p>
        </w:tc>
        <w:tc>
          <w:tcPr>
            <w:tcW w:w="3699" w:type="pct"/>
            <w:vAlign w:val="center"/>
          </w:tcPr>
          <w:p w14:paraId="2A1958F5">
            <w:pPr>
              <w:ind w:firstLine="0" w:firstLineChars="0"/>
              <w:jc w:val="left"/>
              <w:rPr>
                <w:rFonts w:ascii="宋体" w:hAnsi="宋体" w:cs="宋体"/>
                <w:szCs w:val="21"/>
              </w:rPr>
            </w:pPr>
            <w:r>
              <w:rPr>
                <w:rFonts w:eastAsia="Times New Roman"/>
                <w:color w:val="000000"/>
                <w:szCs w:val="21"/>
              </w:rPr>
              <w:t>投标人自</w:t>
            </w:r>
            <w:r>
              <w:rPr>
                <w:rFonts w:hint="eastAsia" w:eastAsia="Times New Roman"/>
                <w:color w:val="000000"/>
                <w:szCs w:val="21"/>
              </w:rPr>
              <w:t>2023</w:t>
            </w:r>
            <w:r>
              <w:rPr>
                <w:rFonts w:eastAsia="Times New Roman"/>
                <w:color w:val="000000"/>
                <w:szCs w:val="21"/>
              </w:rPr>
              <w:t>年</w:t>
            </w:r>
            <w:r>
              <w:rPr>
                <w:rFonts w:hint="eastAsia" w:eastAsia="Times New Roman"/>
                <w:color w:val="000000"/>
                <w:szCs w:val="21"/>
              </w:rPr>
              <w:t>4</w:t>
            </w:r>
            <w:r>
              <w:rPr>
                <w:rFonts w:eastAsia="Times New Roman"/>
                <w:color w:val="000000"/>
                <w:szCs w:val="21"/>
              </w:rPr>
              <w:t>月</w:t>
            </w:r>
            <w:r>
              <w:rPr>
                <w:rFonts w:hint="eastAsia" w:eastAsia="Times New Roman"/>
                <w:color w:val="000000"/>
                <w:szCs w:val="21"/>
              </w:rPr>
              <w:t>1</w:t>
            </w:r>
            <w:r>
              <w:rPr>
                <w:rFonts w:eastAsia="Times New Roman"/>
                <w:color w:val="000000"/>
                <w:szCs w:val="21"/>
              </w:rPr>
              <w:t>日（以合同签订日期为准）以来，具有</w:t>
            </w:r>
            <w:r>
              <w:rPr>
                <w:rFonts w:hint="eastAsia" w:eastAsia="Times New Roman"/>
                <w:color w:val="000000"/>
                <w:szCs w:val="21"/>
              </w:rPr>
              <w:t>类似</w:t>
            </w:r>
            <w:r>
              <w:rPr>
                <w:rFonts w:hint="eastAsia" w:ascii="宋体" w:hAnsi="宋体" w:cs="宋体"/>
                <w:szCs w:val="18"/>
              </w:rPr>
              <w:t>超融合采购项目业绩证明材料，每提供一个</w:t>
            </w:r>
            <w:r>
              <w:rPr>
                <w:rFonts w:hint="eastAsia" w:eastAsia="Times New Roman"/>
              </w:rPr>
              <w:t>业绩合同</w:t>
            </w:r>
            <w:r>
              <w:rPr>
                <w:rFonts w:hint="eastAsia" w:ascii="宋体" w:hAnsi="宋体" w:cs="宋体"/>
                <w:szCs w:val="18"/>
              </w:rPr>
              <w:t>得1分，满分3分。</w:t>
            </w:r>
            <w:r>
              <w:rPr>
                <w:rFonts w:hint="eastAsia" w:ascii="宋体" w:hAnsi="宋体" w:cs="宋体"/>
                <w:b/>
                <w:bCs/>
                <w:szCs w:val="18"/>
              </w:rPr>
              <w:t>提供合同复印件及发票复印件加盖投标人公章，否则不予计分。</w:t>
            </w:r>
          </w:p>
        </w:tc>
      </w:tr>
      <w:tr w14:paraId="1D3F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470" w:type="pct"/>
            <w:vMerge w:val="continue"/>
            <w:vAlign w:val="center"/>
          </w:tcPr>
          <w:p w14:paraId="27A41B04">
            <w:pPr>
              <w:widowControl/>
              <w:adjustRightInd w:val="0"/>
              <w:snapToGrid w:val="0"/>
              <w:ind w:firstLine="420"/>
              <w:jc w:val="left"/>
              <w:rPr>
                <w:rFonts w:eastAsia="Times New Roman"/>
                <w:szCs w:val="21"/>
              </w:rPr>
            </w:pPr>
          </w:p>
        </w:tc>
        <w:tc>
          <w:tcPr>
            <w:tcW w:w="830" w:type="pct"/>
            <w:vAlign w:val="center"/>
          </w:tcPr>
          <w:p w14:paraId="0CB64079">
            <w:pPr>
              <w:ind w:firstLine="0" w:firstLineChars="0"/>
              <w:jc w:val="center"/>
              <w:rPr>
                <w:rFonts w:ascii="宋体" w:hAnsi="宋体" w:cs="宋体"/>
                <w:szCs w:val="18"/>
              </w:rPr>
            </w:pPr>
            <w:r>
              <w:rPr>
                <w:rFonts w:hint="eastAsia" w:ascii="宋体" w:hAnsi="宋体" w:cs="宋体"/>
                <w:szCs w:val="18"/>
              </w:rPr>
              <w:t>技术服务方案</w:t>
            </w:r>
          </w:p>
          <w:p w14:paraId="49E2A9AF">
            <w:pPr>
              <w:ind w:firstLine="0" w:firstLineChars="0"/>
              <w:jc w:val="center"/>
              <w:rPr>
                <w:rFonts w:ascii="宋体" w:hAnsi="宋体" w:cs="宋体"/>
                <w:szCs w:val="18"/>
              </w:rPr>
            </w:pPr>
            <w:r>
              <w:rPr>
                <w:rFonts w:hint="eastAsia" w:ascii="宋体" w:hAnsi="宋体" w:cs="宋体"/>
                <w:szCs w:val="21"/>
                <w:lang w:bidi="ar"/>
              </w:rPr>
              <w:t>（5分）</w:t>
            </w:r>
          </w:p>
        </w:tc>
        <w:tc>
          <w:tcPr>
            <w:tcW w:w="3699" w:type="pct"/>
            <w:vAlign w:val="center"/>
          </w:tcPr>
          <w:p w14:paraId="381D2648">
            <w:pPr>
              <w:ind w:firstLine="0" w:firstLineChars="0"/>
              <w:jc w:val="left"/>
              <w:rPr>
                <w:rFonts w:ascii="宋体" w:hAnsi="宋体" w:cs="宋体"/>
                <w:szCs w:val="21"/>
              </w:rPr>
            </w:pPr>
            <w:r>
              <w:rPr>
                <w:rFonts w:hint="eastAsia" w:ascii="宋体" w:hAnsi="宋体" w:cs="宋体"/>
                <w:szCs w:val="18"/>
              </w:rPr>
              <w:t>投标人的技术服务方案。包括总体架构、项目管理、实施准备、进度安排、进度保障、质量保障、试运行、售后维修和服务承诺等内容。要求方案内容完整、科学、合理，</w:t>
            </w:r>
            <w:r>
              <w:rPr>
                <w:rFonts w:hint="eastAsia" w:ascii="宋体" w:hAnsi="宋体" w:cs="宋体"/>
                <w:szCs w:val="21"/>
              </w:rPr>
              <w:t>由评委横向比较酌情评分，优(4-5]，良(2-4]，一般[0-2]。</w:t>
            </w:r>
          </w:p>
        </w:tc>
      </w:tr>
      <w:tr w14:paraId="1A38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70" w:type="pct"/>
            <w:vMerge w:val="continue"/>
            <w:vAlign w:val="center"/>
          </w:tcPr>
          <w:p w14:paraId="72B641D3">
            <w:pPr>
              <w:widowControl/>
              <w:adjustRightInd w:val="0"/>
              <w:snapToGrid w:val="0"/>
              <w:ind w:firstLine="420"/>
              <w:jc w:val="left"/>
              <w:rPr>
                <w:rFonts w:eastAsia="Times New Roman"/>
                <w:szCs w:val="21"/>
              </w:rPr>
            </w:pPr>
          </w:p>
        </w:tc>
        <w:tc>
          <w:tcPr>
            <w:tcW w:w="830" w:type="pct"/>
            <w:vAlign w:val="center"/>
          </w:tcPr>
          <w:p w14:paraId="4DF2CE1A">
            <w:pPr>
              <w:ind w:firstLine="0" w:firstLineChars="0"/>
              <w:jc w:val="center"/>
              <w:rPr>
                <w:rFonts w:ascii="宋体" w:hAnsi="宋体" w:cs="宋体"/>
                <w:szCs w:val="18"/>
                <w:highlight w:val="none"/>
              </w:rPr>
            </w:pPr>
            <w:r>
              <w:rPr>
                <w:rFonts w:hint="eastAsia" w:ascii="宋体" w:hAnsi="宋体" w:cs="宋体"/>
                <w:szCs w:val="18"/>
                <w:highlight w:val="none"/>
              </w:rPr>
              <w:t>项目技术配置力量</w:t>
            </w:r>
            <w:r>
              <w:rPr>
                <w:rFonts w:hint="eastAsia" w:ascii="宋体" w:hAnsi="宋体" w:cs="宋体"/>
                <w:szCs w:val="21"/>
                <w:highlight w:val="none"/>
                <w:lang w:bidi="ar"/>
              </w:rPr>
              <w:t>（</w:t>
            </w:r>
            <w:r>
              <w:rPr>
                <w:rFonts w:hint="eastAsia" w:ascii="宋体" w:hAnsi="宋体" w:cs="宋体"/>
                <w:szCs w:val="21"/>
                <w:highlight w:val="none"/>
                <w:lang w:val="en-US" w:eastAsia="zh-CN" w:bidi="ar"/>
              </w:rPr>
              <w:t>3</w:t>
            </w:r>
            <w:r>
              <w:rPr>
                <w:rFonts w:hint="eastAsia" w:ascii="宋体" w:hAnsi="宋体" w:cs="宋体"/>
                <w:szCs w:val="21"/>
                <w:highlight w:val="none"/>
                <w:lang w:bidi="ar"/>
              </w:rPr>
              <w:t>分）</w:t>
            </w:r>
          </w:p>
        </w:tc>
        <w:tc>
          <w:tcPr>
            <w:tcW w:w="3699" w:type="pct"/>
            <w:vAlign w:val="center"/>
          </w:tcPr>
          <w:p w14:paraId="569A40C1">
            <w:pPr>
              <w:ind w:firstLine="0" w:firstLineChars="0"/>
              <w:jc w:val="left"/>
              <w:rPr>
                <w:rFonts w:ascii="宋体" w:hAnsi="宋体" w:cs="宋体"/>
                <w:kern w:val="0"/>
                <w:szCs w:val="21"/>
                <w:highlight w:val="none"/>
              </w:rPr>
            </w:pPr>
            <w:r>
              <w:rPr>
                <w:rFonts w:hint="eastAsia" w:ascii="宋体" w:hAnsi="宋体" w:cs="宋体"/>
                <w:sz w:val="22"/>
                <w:szCs w:val="22"/>
                <w:highlight w:val="none"/>
              </w:rPr>
              <w:t>根据</w:t>
            </w:r>
            <w:r>
              <w:rPr>
                <w:rFonts w:hint="eastAsia" w:ascii="宋体" w:hAnsi="宋体" w:cs="宋体"/>
                <w:szCs w:val="18"/>
                <w:highlight w:val="none"/>
              </w:rPr>
              <w:t>投标人</w:t>
            </w:r>
            <w:bookmarkStart w:id="69" w:name="_GoBack"/>
            <w:bookmarkEnd w:id="69"/>
            <w:r>
              <w:rPr>
                <w:rFonts w:hint="eastAsia" w:ascii="宋体" w:hAnsi="宋体" w:cs="宋体"/>
                <w:szCs w:val="18"/>
                <w:highlight w:val="none"/>
              </w:rPr>
              <w:t>的提供的</w:t>
            </w:r>
            <w:r>
              <w:rPr>
                <w:rFonts w:hint="eastAsia" w:ascii="宋体" w:hAnsi="宋体" w:cs="宋体"/>
                <w:kern w:val="0"/>
                <w:szCs w:val="21"/>
                <w:highlight w:val="none"/>
              </w:rPr>
              <w:t>项目拟派负责人及团队成员类似项目经验、相关职称、工作年限等</w:t>
            </w:r>
            <w:r>
              <w:rPr>
                <w:rFonts w:hint="eastAsia" w:ascii="宋体" w:hAnsi="宋体" w:cs="宋体"/>
                <w:szCs w:val="21"/>
                <w:highlight w:val="none"/>
              </w:rPr>
              <w:t>由评委横向比较酌情评分，优(</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]，良(</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]，一般[0-</w:t>
            </w:r>
            <w:r>
              <w:rPr>
                <w:rFonts w:hint="eastAsia" w:ascii="宋体" w:hAnsi="宋体" w:cs="宋体"/>
                <w:szCs w:val="21"/>
                <w:highlight w:val="none"/>
                <w:lang w:val="en-US" w:eastAsia="zh-CN"/>
              </w:rPr>
              <w:t>1</w:t>
            </w:r>
            <w:r>
              <w:rPr>
                <w:rFonts w:hint="eastAsia" w:ascii="宋体" w:hAnsi="宋体" w:cs="宋体"/>
                <w:szCs w:val="21"/>
                <w:highlight w:val="none"/>
              </w:rPr>
              <w:t>]。</w:t>
            </w:r>
          </w:p>
          <w:p w14:paraId="5716BFA3">
            <w:pPr>
              <w:ind w:firstLine="0" w:firstLineChars="0"/>
              <w:jc w:val="left"/>
              <w:rPr>
                <w:rFonts w:ascii="宋体" w:hAnsi="宋体" w:cs="宋体"/>
                <w:kern w:val="0"/>
                <w:szCs w:val="21"/>
                <w:highlight w:val="none"/>
              </w:rPr>
            </w:pPr>
            <w:r>
              <w:rPr>
                <w:rFonts w:hint="eastAsia" w:ascii="宋体" w:hAnsi="宋体" w:cs="宋体"/>
                <w:kern w:val="0"/>
                <w:szCs w:val="21"/>
                <w:highlight w:val="none"/>
              </w:rPr>
              <w:t xml:space="preserve">提供相关证书证明材料及相关人员2026年2月-4月的社保证明材料，否则不得分。 </w:t>
            </w:r>
          </w:p>
        </w:tc>
      </w:tr>
      <w:tr w14:paraId="608F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70" w:type="pct"/>
            <w:vMerge w:val="continue"/>
            <w:vAlign w:val="center"/>
          </w:tcPr>
          <w:p w14:paraId="61AE253D">
            <w:pPr>
              <w:widowControl/>
              <w:adjustRightInd w:val="0"/>
              <w:snapToGrid w:val="0"/>
              <w:ind w:firstLine="420"/>
              <w:jc w:val="left"/>
              <w:rPr>
                <w:rFonts w:eastAsia="Times New Roman"/>
                <w:szCs w:val="21"/>
              </w:rPr>
            </w:pPr>
          </w:p>
        </w:tc>
        <w:tc>
          <w:tcPr>
            <w:tcW w:w="1454" w:type="dxa"/>
            <w:vAlign w:val="center"/>
          </w:tcPr>
          <w:p w14:paraId="6F1BC45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Cs w:val="18"/>
                <w:highlight w:val="none"/>
                <w:lang w:val="en-US" w:eastAsia="zh-CN"/>
              </w:rPr>
            </w:pPr>
            <w:r>
              <w:rPr>
                <w:rFonts w:hint="eastAsia" w:ascii="宋体" w:hAnsi="宋体" w:cs="宋体"/>
                <w:color w:val="auto"/>
                <w:sz w:val="21"/>
                <w:szCs w:val="21"/>
                <w:highlight w:val="none"/>
              </w:rPr>
              <w:t>技术参数符合性（</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rPr>
              <w:t>）</w:t>
            </w:r>
          </w:p>
        </w:tc>
        <w:tc>
          <w:tcPr>
            <w:tcW w:w="6481" w:type="dxa"/>
            <w:vAlign w:val="center"/>
          </w:tcPr>
          <w:p w14:paraId="282F014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cs="宋体"/>
                <w:kern w:val="0"/>
                <w:szCs w:val="21"/>
                <w:highlight w:val="none"/>
              </w:rPr>
            </w:pPr>
            <w:r>
              <w:rPr>
                <w:rFonts w:hint="eastAsia" w:ascii="宋体" w:hAnsi="宋体" w:cs="宋体"/>
                <w:color w:val="auto"/>
                <w:sz w:val="21"/>
                <w:szCs w:val="21"/>
                <w:highlight w:val="none"/>
                <w:lang w:val="en-US" w:eastAsia="zh-CN"/>
              </w:rPr>
              <w:t>根据</w:t>
            </w:r>
            <w:r>
              <w:rPr>
                <w:rFonts w:hint="eastAsia" w:ascii="宋体" w:hAnsi="宋体" w:cs="宋体"/>
                <w:color w:val="auto"/>
                <w:sz w:val="21"/>
                <w:szCs w:val="21"/>
                <w:highlight w:val="none"/>
              </w:rPr>
              <w:t>投标人</w:t>
            </w:r>
            <w:r>
              <w:rPr>
                <w:rFonts w:hint="eastAsia" w:ascii="宋体" w:hAnsi="宋体" w:cs="宋体"/>
                <w:color w:val="auto"/>
                <w:sz w:val="21"/>
                <w:szCs w:val="21"/>
                <w:highlight w:val="none"/>
                <w:lang w:val="en-US" w:eastAsia="zh-CN"/>
              </w:rPr>
              <w:t>针对本项目</w:t>
            </w:r>
            <w:r>
              <w:rPr>
                <w:rFonts w:hint="eastAsia" w:ascii="宋体" w:hAnsi="宋体" w:cs="宋体"/>
                <w:color w:val="auto"/>
                <w:sz w:val="21"/>
                <w:szCs w:val="21"/>
                <w:highlight w:val="none"/>
              </w:rPr>
              <w:t>的技术性能响应完整性、先进性</w:t>
            </w:r>
            <w:r>
              <w:rPr>
                <w:rFonts w:hint="eastAsia" w:ascii="宋体" w:hAnsi="宋体" w:cs="宋体"/>
                <w:color w:val="auto"/>
                <w:sz w:val="21"/>
                <w:szCs w:val="21"/>
                <w:highlight w:val="none"/>
                <w:lang w:val="en-US" w:eastAsia="zh-CN"/>
              </w:rPr>
              <w:t>等进行综合评议，</w:t>
            </w:r>
            <w:r>
              <w:rPr>
                <w:rFonts w:hint="eastAsia" w:ascii="宋体" w:hAnsi="宋体" w:eastAsia="宋体" w:cs="宋体"/>
                <w:color w:val="auto"/>
                <w:sz w:val="21"/>
                <w:szCs w:val="21"/>
                <w:highlight w:val="none"/>
              </w:rPr>
              <w:t>优（1.5-2]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，良（1-1.5]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，一般（0.5-1]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，差[0-0.5]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tc>
      </w:tr>
    </w:tbl>
    <w:p w14:paraId="5E340C22">
      <w:pPr>
        <w:ind w:firstLine="0" w:firstLineChars="0"/>
        <w:rPr>
          <w:b/>
          <w:bCs/>
        </w:rPr>
      </w:pPr>
      <w:r>
        <w:rPr>
          <w:rFonts w:hint="eastAsia"/>
          <w:b/>
          <w:bCs/>
        </w:rPr>
        <w:t>第二阶段评审</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453"/>
        <w:gridCol w:w="6483"/>
      </w:tblGrid>
      <w:tr w14:paraId="345D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0" w:type="pct"/>
            <w:vAlign w:val="center"/>
          </w:tcPr>
          <w:p w14:paraId="67EA5C08">
            <w:pPr>
              <w:spacing w:line="400" w:lineRule="exact"/>
              <w:ind w:firstLine="0" w:firstLineChars="0"/>
              <w:jc w:val="center"/>
              <w:rPr>
                <w:rFonts w:ascii="宋体" w:hAnsi="宋体" w:cs="宋体"/>
                <w:szCs w:val="21"/>
              </w:rPr>
            </w:pPr>
            <w:r>
              <w:rPr>
                <w:rFonts w:hint="eastAsia" w:ascii="宋体" w:hAnsi="宋体" w:cs="宋体"/>
                <w:szCs w:val="21"/>
              </w:rPr>
              <w:t>价格部分</w:t>
            </w:r>
          </w:p>
          <w:p w14:paraId="17FD8B44">
            <w:pPr>
              <w:spacing w:line="400" w:lineRule="exact"/>
              <w:ind w:firstLine="0" w:firstLineChars="0"/>
              <w:jc w:val="center"/>
              <w:rPr>
                <w:rFonts w:ascii="宋体" w:hAnsi="宋体" w:cs="宋体"/>
                <w:szCs w:val="21"/>
              </w:rPr>
            </w:pPr>
            <w:r>
              <w:rPr>
                <w:rFonts w:hint="eastAsia" w:ascii="宋体" w:hAnsi="宋体" w:cs="宋体"/>
                <w:szCs w:val="21"/>
              </w:rPr>
              <w:t>85分</w:t>
            </w:r>
          </w:p>
        </w:tc>
        <w:tc>
          <w:tcPr>
            <w:tcW w:w="829" w:type="pct"/>
            <w:vAlign w:val="center"/>
          </w:tcPr>
          <w:p w14:paraId="29007D59">
            <w:pPr>
              <w:spacing w:line="400" w:lineRule="exact"/>
              <w:ind w:firstLine="0" w:firstLineChars="0"/>
              <w:jc w:val="center"/>
              <w:rPr>
                <w:rFonts w:ascii="宋体" w:hAnsi="宋体" w:cs="宋体"/>
                <w:szCs w:val="21"/>
              </w:rPr>
            </w:pPr>
            <w:r>
              <w:rPr>
                <w:rFonts w:hint="eastAsia" w:ascii="宋体" w:hAnsi="宋体" w:cs="宋体"/>
                <w:szCs w:val="21"/>
              </w:rPr>
              <w:t>价格分</w:t>
            </w:r>
          </w:p>
          <w:p w14:paraId="5E315BDB">
            <w:pPr>
              <w:spacing w:line="400" w:lineRule="exact"/>
              <w:ind w:firstLine="0" w:firstLineChars="0"/>
              <w:jc w:val="center"/>
              <w:rPr>
                <w:rFonts w:ascii="宋体" w:hAnsi="宋体" w:cs="宋体"/>
                <w:szCs w:val="21"/>
              </w:rPr>
            </w:pPr>
            <w:r>
              <w:rPr>
                <w:rFonts w:hint="eastAsia" w:ascii="宋体" w:hAnsi="宋体" w:cs="宋体"/>
                <w:szCs w:val="21"/>
              </w:rPr>
              <w:t>（85分）</w:t>
            </w:r>
          </w:p>
        </w:tc>
        <w:tc>
          <w:tcPr>
            <w:tcW w:w="3699" w:type="pct"/>
            <w:vAlign w:val="center"/>
          </w:tcPr>
          <w:p w14:paraId="3E944E76">
            <w:pPr>
              <w:ind w:firstLine="0" w:firstLineChars="0"/>
              <w:rPr>
                <w:rFonts w:ascii="宋体" w:hAnsi="宋体" w:eastAsia="Times New Roman"/>
                <w:b/>
                <w:color w:val="000000"/>
                <w:sz w:val="22"/>
                <w:szCs w:val="22"/>
              </w:rPr>
            </w:pPr>
            <w:r>
              <w:rPr>
                <w:rFonts w:hint="eastAsia" w:ascii="宋体" w:hAnsi="宋体" w:eastAsia="Times New Roman"/>
                <w:b/>
                <w:color w:val="000000"/>
                <w:sz w:val="22"/>
                <w:szCs w:val="22"/>
              </w:rPr>
              <w:t>满足招标文件要求且最低报价为评标基准值，其余投标人报价与该基准值对比，计算出价格评分值（保留小数2位）：</w:t>
            </w:r>
          </w:p>
          <w:p w14:paraId="73C11F85">
            <w:pPr>
              <w:ind w:firstLine="0" w:firstLineChars="0"/>
              <w:rPr>
                <w:rFonts w:ascii="宋体" w:hAnsi="宋体" w:eastAsia="Times New Roman"/>
                <w:color w:val="000000"/>
                <w:sz w:val="22"/>
                <w:szCs w:val="22"/>
              </w:rPr>
            </w:pPr>
            <w:r>
              <w:rPr>
                <w:rFonts w:hint="eastAsia" w:ascii="宋体" w:hAnsi="宋体" w:eastAsia="Times New Roman"/>
                <w:color w:val="000000"/>
                <w:sz w:val="22"/>
                <w:szCs w:val="22"/>
              </w:rPr>
              <w:t>①有效投标人的投标报价等于评标基准值时其报价分为满分；</w:t>
            </w:r>
          </w:p>
          <w:p w14:paraId="1384D101">
            <w:pPr>
              <w:ind w:firstLine="0" w:firstLineChars="0"/>
              <w:rPr>
                <w:rFonts w:ascii="宋体" w:hAnsi="宋体" w:eastAsia="Times New Roman"/>
                <w:color w:val="000000"/>
                <w:sz w:val="22"/>
                <w:szCs w:val="22"/>
              </w:rPr>
            </w:pPr>
            <w:r>
              <w:rPr>
                <w:rFonts w:hint="eastAsia" w:ascii="宋体" w:hAnsi="宋体" w:eastAsia="Times New Roman"/>
                <w:color w:val="000000"/>
                <w:sz w:val="22"/>
                <w:szCs w:val="22"/>
              </w:rPr>
              <w:t>②其他投标人的价格分按以下公式计算：</w:t>
            </w:r>
          </w:p>
          <w:p w14:paraId="42D818AC">
            <w:pPr>
              <w:widowControl/>
              <w:ind w:firstLine="0" w:firstLineChars="0"/>
              <w:rPr>
                <w:rFonts w:eastAsia="Times New Roman"/>
                <w:szCs w:val="21"/>
              </w:rPr>
            </w:pPr>
            <w:r>
              <w:rPr>
                <w:rFonts w:hint="eastAsia" w:ascii="宋体" w:hAnsi="宋体" w:eastAsia="Times New Roman"/>
                <w:color w:val="000000"/>
                <w:sz w:val="22"/>
                <w:szCs w:val="22"/>
              </w:rPr>
              <w:t>投标报价得分={评标基准值/投标人报价}×价格权值（85%）×100（四舍五入后保留小数2位）。</w:t>
            </w:r>
          </w:p>
        </w:tc>
      </w:tr>
    </w:tbl>
    <w:p w14:paraId="2AB3B48A">
      <w:pPr>
        <w:ind w:firstLine="422"/>
        <w:rPr>
          <w:b/>
          <w:bCs/>
        </w:rPr>
      </w:pPr>
      <w:r>
        <w:rPr>
          <w:b/>
          <w:bCs/>
        </w:rPr>
        <w:t>注：</w:t>
      </w:r>
    </w:p>
    <w:p w14:paraId="4D4E19C8">
      <w:pPr>
        <w:ind w:firstLine="422"/>
        <w:rPr>
          <w:b/>
          <w:bCs/>
        </w:rPr>
      </w:pPr>
      <w:r>
        <w:rPr>
          <w:b/>
          <w:bCs/>
        </w:rPr>
        <w:t>1、上述评分表中“(”不含本数，“[”、“]”包含本数。</w:t>
      </w:r>
    </w:p>
    <w:p w14:paraId="32E61EA3">
      <w:pPr>
        <w:ind w:firstLine="422"/>
      </w:pPr>
      <w:r>
        <w:rPr>
          <w:b/>
          <w:bCs/>
        </w:rPr>
        <w:t>2、投标人在投标文件目录前增加索引页，针对评标办法中的每一个评分项目，注明投标文件内相应的页码，以方便检索。</w:t>
      </w:r>
      <w:r>
        <w:tab/>
      </w:r>
    </w:p>
    <w:p w14:paraId="1D79D84B">
      <w:pPr>
        <w:pStyle w:val="3"/>
      </w:pPr>
      <w:r>
        <w:br w:type="page"/>
      </w:r>
      <w:bookmarkStart w:id="25" w:name="_Toc9123"/>
      <w:r>
        <w:t>第五章  合同主要条款</w:t>
      </w:r>
      <w:bookmarkEnd w:id="25"/>
    </w:p>
    <w:bookmarkEnd w:id="23"/>
    <w:bookmarkEnd w:id="24"/>
    <w:p w14:paraId="318EA9BF">
      <w:pPr>
        <w:spacing w:before="156" w:beforeLines="50" w:after="156" w:afterLines="50"/>
        <w:ind w:firstLine="420"/>
        <w:jc w:val="center"/>
        <w:rPr>
          <w:szCs w:val="21"/>
        </w:rPr>
      </w:pPr>
      <w:bookmarkStart w:id="26" w:name="_Toc13179"/>
      <w:bookmarkStart w:id="27" w:name="_Toc317116872"/>
      <w:r>
        <w:rPr>
          <w:szCs w:val="21"/>
        </w:rPr>
        <w:t>以下合同格式仅供参考，具体以实际签订为准。</w:t>
      </w:r>
    </w:p>
    <w:p w14:paraId="28447960">
      <w:pPr>
        <w:wordWrap w:val="0"/>
        <w:ind w:firstLine="440"/>
        <w:jc w:val="right"/>
        <w:rPr>
          <w:bCs/>
          <w:sz w:val="22"/>
          <w:szCs w:val="22"/>
        </w:rPr>
      </w:pPr>
      <w:r>
        <w:rPr>
          <w:rFonts w:hint="eastAsia"/>
          <w:bCs/>
          <w:sz w:val="22"/>
          <w:szCs w:val="22"/>
        </w:rPr>
        <w:t xml:space="preserve">合同编号：              </w:t>
      </w:r>
    </w:p>
    <w:p w14:paraId="79D9A07C">
      <w:pPr>
        <w:spacing w:line="400" w:lineRule="exact"/>
        <w:ind w:firstLine="643"/>
        <w:rPr>
          <w:rFonts w:ascii="宋体" w:hAnsi="宋体"/>
          <w:b/>
          <w:sz w:val="32"/>
          <w:szCs w:val="32"/>
        </w:rPr>
      </w:pPr>
      <w:r>
        <w:rPr>
          <w:rFonts w:hint="eastAsia" w:ascii="宋体" w:hAnsi="宋体"/>
          <w:b/>
          <w:sz w:val="32"/>
          <w:szCs w:val="32"/>
        </w:rPr>
        <w:t>温州金洋集装箱码头有限公司超融合升级扩容合同</w:t>
      </w:r>
    </w:p>
    <w:p w14:paraId="561F06B7">
      <w:pPr>
        <w:ind w:firstLine="643"/>
        <w:jc w:val="center"/>
        <w:rPr>
          <w:b/>
          <w:sz w:val="32"/>
          <w:szCs w:val="32"/>
        </w:rPr>
      </w:pPr>
    </w:p>
    <w:p w14:paraId="06DF662D">
      <w:pPr>
        <w:spacing w:after="156" w:line="240" w:lineRule="auto"/>
        <w:ind w:firstLine="0" w:firstLineChars="0"/>
        <w:rPr>
          <w:rFonts w:ascii="宋体" w:hAnsi="宋体" w:cs="宋体"/>
          <w:szCs w:val="21"/>
          <w:highlight w:val="yellow"/>
        </w:rPr>
      </w:pPr>
      <w:r>
        <w:rPr>
          <w:rFonts w:hint="eastAsia" w:ascii="宋体" w:hAnsi="宋体" w:cs="宋体"/>
          <w:szCs w:val="21"/>
        </w:rPr>
        <w:t xml:space="preserve">甲方： </w:t>
      </w:r>
    </w:p>
    <w:p w14:paraId="38338596">
      <w:pPr>
        <w:spacing w:after="120"/>
        <w:ind w:left="420" w:hanging="420" w:hangingChars="200"/>
        <w:rPr>
          <w:rFonts w:ascii="宋体" w:hAnsi="宋体" w:cs="宋体"/>
          <w:szCs w:val="21"/>
        </w:rPr>
      </w:pPr>
      <w:r>
        <w:rPr>
          <w:rFonts w:hint="eastAsia" w:ascii="宋体" w:hAnsi="宋体" w:cs="宋体"/>
          <w:szCs w:val="21"/>
        </w:rPr>
        <w:t xml:space="preserve">住所地： </w:t>
      </w:r>
    </w:p>
    <w:p w14:paraId="5BAF4422">
      <w:pPr>
        <w:spacing w:after="120"/>
        <w:ind w:left="420" w:hanging="420" w:hangingChars="200"/>
        <w:rPr>
          <w:rFonts w:ascii="宋体" w:hAnsi="宋体" w:cs="宋体"/>
        </w:rPr>
      </w:pPr>
      <w:r>
        <w:rPr>
          <w:rFonts w:hint="eastAsia" w:ascii="宋体" w:hAnsi="宋体" w:cs="宋体"/>
          <w:szCs w:val="21"/>
        </w:rPr>
        <w:t>联系人：     电话：   电子邮箱：</w:t>
      </w:r>
    </w:p>
    <w:p w14:paraId="26C4673E">
      <w:pPr>
        <w:snapToGrid w:val="0"/>
        <w:ind w:firstLine="0" w:firstLineChars="0"/>
        <w:rPr>
          <w:rFonts w:ascii="宋体" w:hAnsi="宋体" w:cs="宋体"/>
          <w:szCs w:val="21"/>
        </w:rPr>
      </w:pPr>
      <w:r>
        <w:rPr>
          <w:rFonts w:hint="eastAsia" w:ascii="宋体" w:hAnsi="宋体" w:cs="宋体"/>
          <w:szCs w:val="21"/>
        </w:rPr>
        <w:t xml:space="preserve">乙方： </w:t>
      </w:r>
    </w:p>
    <w:p w14:paraId="67CA8A86">
      <w:pPr>
        <w:snapToGrid w:val="0"/>
        <w:ind w:firstLine="0" w:firstLineChars="0"/>
        <w:rPr>
          <w:rFonts w:ascii="宋体" w:hAnsi="宋体" w:cs="宋体"/>
          <w:szCs w:val="21"/>
        </w:rPr>
      </w:pPr>
      <w:r>
        <w:rPr>
          <w:rFonts w:hint="eastAsia" w:ascii="宋体" w:hAnsi="宋体" w:cs="宋体"/>
          <w:szCs w:val="21"/>
        </w:rPr>
        <w:t xml:space="preserve">住所地： </w:t>
      </w:r>
    </w:p>
    <w:p w14:paraId="65D63EAE">
      <w:pPr>
        <w:snapToGrid w:val="0"/>
        <w:ind w:firstLine="0" w:firstLineChars="0"/>
        <w:rPr>
          <w:rFonts w:ascii="宋体" w:hAnsi="宋体" w:cs="宋体"/>
          <w:szCs w:val="21"/>
        </w:rPr>
      </w:pPr>
      <w:r>
        <w:rPr>
          <w:rFonts w:hint="eastAsia" w:ascii="宋体" w:hAnsi="宋体" w:cs="宋体"/>
          <w:szCs w:val="21"/>
        </w:rPr>
        <w:t>联系人：     电话：   电子邮箱：</w:t>
      </w:r>
    </w:p>
    <w:p w14:paraId="4F1C1F69">
      <w:pPr>
        <w:spacing w:line="400" w:lineRule="exact"/>
        <w:ind w:firstLine="420"/>
        <w:rPr>
          <w:rFonts w:ascii="宋体" w:hAnsi="宋体" w:cs="宋体"/>
          <w:szCs w:val="21"/>
        </w:rPr>
      </w:pPr>
      <w:r>
        <w:rPr>
          <w:rFonts w:hint="eastAsia" w:ascii="宋体" w:hAnsi="宋体" w:cs="宋体"/>
          <w:szCs w:val="21"/>
        </w:rPr>
        <w:t>甲方因生产经营需要，向乙方采购超融合升级扩容，根据《中华人民共和国民法典》及有关规定，经友好协商，双方达成以下协议：</w:t>
      </w:r>
    </w:p>
    <w:p w14:paraId="168E7CCA">
      <w:pPr>
        <w:spacing w:line="400" w:lineRule="exact"/>
        <w:ind w:firstLine="420"/>
        <w:rPr>
          <w:rFonts w:ascii="宋体" w:hAnsi="宋体" w:cs="宋体"/>
          <w:szCs w:val="21"/>
        </w:rPr>
      </w:pPr>
      <w:r>
        <w:rPr>
          <w:rFonts w:hint="eastAsia" w:ascii="宋体" w:hAnsi="宋体" w:cs="宋体"/>
          <w:szCs w:val="21"/>
        </w:rPr>
        <w:t>一、产品基本信息</w:t>
      </w:r>
    </w:p>
    <w:p w14:paraId="70B91D42">
      <w:pPr>
        <w:spacing w:line="400" w:lineRule="exact"/>
        <w:ind w:firstLine="420"/>
        <w:rPr>
          <w:rFonts w:ascii="宋体" w:hAnsi="宋体" w:cs="宋体"/>
          <w:szCs w:val="21"/>
        </w:rPr>
      </w:pPr>
      <w:r>
        <w:rPr>
          <w:rFonts w:hint="eastAsia" w:ascii="宋体" w:hAnsi="宋体" w:cs="宋体"/>
          <w:szCs w:val="21"/>
        </w:rPr>
        <w:t>1、产品名称：超融合升级扩容</w:t>
      </w:r>
      <w:r>
        <w:rPr>
          <w:rFonts w:hint="eastAsia" w:ascii="宋体" w:hAnsi="宋体" w:cs="宋体"/>
          <w:szCs w:val="21"/>
        </w:rPr>
        <w:tab/>
      </w:r>
    </w:p>
    <w:p w14:paraId="226E7D6B">
      <w:pPr>
        <w:spacing w:line="400" w:lineRule="exact"/>
        <w:ind w:firstLine="420"/>
        <w:rPr>
          <w:rFonts w:ascii="宋体" w:hAnsi="宋体" w:cs="宋体"/>
          <w:szCs w:val="21"/>
        </w:rPr>
      </w:pPr>
      <w:r>
        <w:rPr>
          <w:rFonts w:hint="eastAsia" w:ascii="宋体" w:hAnsi="宋体" w:cs="宋体"/>
          <w:szCs w:val="21"/>
        </w:rPr>
        <w:t>2、型号及数量：详见供货清单</w:t>
      </w:r>
    </w:p>
    <w:p w14:paraId="1E2BCDA9">
      <w:pPr>
        <w:spacing w:line="400" w:lineRule="exact"/>
        <w:ind w:firstLine="420"/>
        <w:rPr>
          <w:rFonts w:ascii="宋体" w:hAnsi="宋体" w:cs="宋体"/>
          <w:szCs w:val="21"/>
        </w:rPr>
      </w:pPr>
      <w:r>
        <w:rPr>
          <w:rFonts w:hint="eastAsia" w:ascii="宋体" w:hAnsi="宋体" w:cs="宋体"/>
          <w:szCs w:val="21"/>
        </w:rPr>
        <w:t>3、技术规格：详见供货清单</w:t>
      </w:r>
    </w:p>
    <w:p w14:paraId="375C345A">
      <w:pPr>
        <w:spacing w:line="400" w:lineRule="exact"/>
        <w:ind w:firstLine="420"/>
        <w:rPr>
          <w:rFonts w:ascii="宋体" w:hAnsi="宋体" w:cs="宋体"/>
          <w:szCs w:val="21"/>
        </w:rPr>
      </w:pPr>
      <w:r>
        <w:rPr>
          <w:rFonts w:hint="eastAsia" w:ascii="宋体" w:hAnsi="宋体" w:cs="宋体"/>
          <w:szCs w:val="21"/>
        </w:rPr>
        <w:t>二、产品质量要求</w:t>
      </w:r>
    </w:p>
    <w:p w14:paraId="789C89A9">
      <w:pPr>
        <w:spacing w:line="400" w:lineRule="exact"/>
        <w:ind w:firstLine="420"/>
        <w:rPr>
          <w:rFonts w:ascii="宋体" w:hAnsi="宋体" w:cs="宋体"/>
          <w:szCs w:val="21"/>
        </w:rPr>
      </w:pPr>
      <w:r>
        <w:rPr>
          <w:rFonts w:hint="eastAsia" w:ascii="宋体" w:hAnsi="宋体" w:cs="宋体"/>
          <w:szCs w:val="21"/>
        </w:rPr>
        <w:t>1、乙方保证产品为原装正品。</w:t>
      </w:r>
    </w:p>
    <w:p w14:paraId="601B7290">
      <w:pPr>
        <w:spacing w:line="400" w:lineRule="exact"/>
        <w:ind w:firstLine="420"/>
        <w:rPr>
          <w:rFonts w:ascii="宋体" w:hAnsi="宋体" w:cs="宋体"/>
          <w:szCs w:val="21"/>
        </w:rPr>
      </w:pPr>
      <w:r>
        <w:rPr>
          <w:rFonts w:hint="eastAsia" w:ascii="宋体" w:hAnsi="宋体" w:cs="宋体"/>
          <w:szCs w:val="21"/>
        </w:rPr>
        <w:t>2、产品质量标准：行业标准</w:t>
      </w:r>
    </w:p>
    <w:p w14:paraId="3029F655">
      <w:pPr>
        <w:spacing w:line="400" w:lineRule="exact"/>
        <w:ind w:firstLine="420"/>
        <w:rPr>
          <w:rFonts w:ascii="宋体" w:hAnsi="宋体" w:cs="宋体"/>
          <w:szCs w:val="21"/>
        </w:rPr>
      </w:pPr>
      <w:r>
        <w:rPr>
          <w:rFonts w:hint="eastAsia" w:ascii="宋体" w:hAnsi="宋体" w:cs="宋体"/>
          <w:szCs w:val="21"/>
        </w:rPr>
        <w:t>3、甲方对产品质量的特殊要求：合格</w:t>
      </w:r>
    </w:p>
    <w:p w14:paraId="5AFFB50C">
      <w:pPr>
        <w:spacing w:line="400" w:lineRule="exact"/>
        <w:ind w:firstLine="420"/>
        <w:rPr>
          <w:rFonts w:ascii="宋体" w:hAnsi="宋体" w:cs="宋体"/>
          <w:szCs w:val="21"/>
        </w:rPr>
      </w:pPr>
      <w:r>
        <w:rPr>
          <w:rFonts w:hint="eastAsia" w:ascii="宋体" w:hAnsi="宋体" w:cs="宋体"/>
          <w:szCs w:val="21"/>
        </w:rPr>
        <w:t>三、合同价格</w:t>
      </w:r>
    </w:p>
    <w:p w14:paraId="76E8B9B1">
      <w:pPr>
        <w:spacing w:line="400" w:lineRule="exact"/>
        <w:ind w:firstLine="420"/>
        <w:rPr>
          <w:rFonts w:ascii="宋体" w:hAnsi="宋体" w:cs="宋体"/>
          <w:szCs w:val="21"/>
        </w:rPr>
      </w:pPr>
      <w:r>
        <w:rPr>
          <w:rFonts w:hint="eastAsia" w:ascii="宋体" w:hAnsi="宋体" w:cs="宋体"/>
          <w:szCs w:val="21"/>
        </w:rPr>
        <w:t>1、单价：详见供货清单。</w:t>
      </w:r>
    </w:p>
    <w:p w14:paraId="448F9847">
      <w:pPr>
        <w:spacing w:line="400" w:lineRule="exact"/>
        <w:ind w:firstLine="420"/>
        <w:rPr>
          <w:rFonts w:ascii="宋体" w:hAnsi="宋体" w:cs="宋体"/>
          <w:szCs w:val="21"/>
        </w:rPr>
      </w:pPr>
      <w:r>
        <w:rPr>
          <w:rFonts w:hint="eastAsia" w:ascii="宋体" w:hAnsi="宋体" w:cs="宋体"/>
          <w:szCs w:val="21"/>
        </w:rPr>
        <w:t>2、总价：人民币大写金额：</w:t>
      </w:r>
      <w:r>
        <w:rPr>
          <w:rFonts w:hint="eastAsia" w:ascii="宋体" w:hAnsi="宋体" w:cs="宋体"/>
          <w:szCs w:val="21"/>
          <w:u w:val="single"/>
        </w:rPr>
        <w:t xml:space="preserve">       </w:t>
      </w:r>
      <w:r>
        <w:rPr>
          <w:rFonts w:hint="eastAsia" w:ascii="宋体" w:hAnsi="宋体" w:cs="宋体"/>
          <w:szCs w:val="21"/>
        </w:rPr>
        <w:t>元整，即￥</w:t>
      </w:r>
      <w:r>
        <w:rPr>
          <w:rFonts w:hint="eastAsia" w:ascii="宋体" w:hAnsi="宋体" w:cs="宋体"/>
          <w:szCs w:val="21"/>
          <w:u w:val="single"/>
        </w:rPr>
        <w:t xml:space="preserve">         </w:t>
      </w:r>
      <w:r>
        <w:rPr>
          <w:rFonts w:hint="eastAsia" w:ascii="宋体" w:hAnsi="宋体" w:cs="宋体"/>
          <w:szCs w:val="21"/>
        </w:rPr>
        <w:t>。</w:t>
      </w:r>
    </w:p>
    <w:p w14:paraId="3E6752A0">
      <w:pPr>
        <w:spacing w:line="400" w:lineRule="exact"/>
        <w:ind w:firstLine="420"/>
        <w:rPr>
          <w:rFonts w:ascii="宋体" w:hAnsi="宋体" w:cs="宋体"/>
          <w:b/>
          <w:bCs/>
          <w:szCs w:val="21"/>
        </w:rPr>
      </w:pPr>
      <w:r>
        <w:rPr>
          <w:rFonts w:hint="eastAsia" w:ascii="宋体" w:hAnsi="宋体" w:cs="宋体"/>
          <w:szCs w:val="21"/>
        </w:rPr>
        <w:t>3、</w:t>
      </w:r>
      <w:r>
        <w:rPr>
          <w:rFonts w:hint="eastAsia" w:ascii="宋体" w:hAnsi="宋体" w:cs="宋体"/>
          <w:b/>
          <w:bCs/>
          <w:szCs w:val="21"/>
        </w:rPr>
        <w:t>本合同总价包括按完成本次采购产品的供货、仓储、运输、装卸、通过验收、质保期服务等各项工作所发生的一切费用，以及税金、包装、保险、技术服务、售后服务、管理等，一切本身和不可或缺的所有工作开支、政策性文件规定及合同包含的所有风险、责任等各项全部费用，实行固定费用总包干。乙方不得以任何理由要求甲方另行支付其他费用。</w:t>
      </w:r>
    </w:p>
    <w:p w14:paraId="75F940E4">
      <w:pPr>
        <w:spacing w:line="400" w:lineRule="exact"/>
        <w:ind w:firstLine="420"/>
        <w:rPr>
          <w:rFonts w:ascii="宋体" w:hAnsi="宋体" w:cs="宋体"/>
          <w:szCs w:val="21"/>
        </w:rPr>
      </w:pPr>
      <w:r>
        <w:rPr>
          <w:rFonts w:hint="eastAsia" w:ascii="宋体" w:hAnsi="宋体" w:cs="宋体"/>
          <w:szCs w:val="21"/>
        </w:rPr>
        <w:t>四、产品的交付、包装、运输和安装调试</w:t>
      </w:r>
    </w:p>
    <w:p w14:paraId="52B573E7">
      <w:pPr>
        <w:spacing w:line="400" w:lineRule="exact"/>
        <w:ind w:firstLine="420"/>
        <w:rPr>
          <w:rFonts w:ascii="宋体" w:hAnsi="宋体" w:cs="宋体"/>
          <w:szCs w:val="21"/>
        </w:rPr>
      </w:pPr>
      <w:r>
        <w:rPr>
          <w:rFonts w:hint="eastAsia" w:ascii="宋体" w:hAnsi="宋体" w:cs="宋体"/>
          <w:szCs w:val="21"/>
        </w:rPr>
        <w:t>1、产品项目工期：</w:t>
      </w:r>
      <w:r>
        <w:rPr>
          <w:rFonts w:hint="eastAsia" w:ascii="宋体" w:hAnsi="宋体" w:cs="宋体"/>
        </w:rPr>
        <w:t>一次性交货，投标人应在合同签订后90个日历天内完成合同范围内产品供货、安装调试，并通过甲方验收合格。</w:t>
      </w:r>
    </w:p>
    <w:p w14:paraId="25F2E5E9">
      <w:pPr>
        <w:spacing w:line="400" w:lineRule="exact"/>
        <w:ind w:firstLine="420"/>
        <w:rPr>
          <w:rFonts w:ascii="宋体" w:hAnsi="宋体" w:cs="宋体"/>
          <w:szCs w:val="21"/>
        </w:rPr>
      </w:pPr>
      <w:r>
        <w:rPr>
          <w:rFonts w:hint="eastAsia" w:ascii="宋体" w:hAnsi="宋体" w:cs="宋体"/>
          <w:szCs w:val="21"/>
        </w:rPr>
        <w:t>2、交货地点：</w:t>
      </w:r>
      <w:r>
        <w:rPr>
          <w:rFonts w:hint="eastAsia" w:ascii="宋体" w:hAnsi="宋体" w:cs="宋体"/>
          <w:szCs w:val="21"/>
          <w:u w:val="single"/>
        </w:rPr>
        <w:t xml:space="preserve">  甲方公司 </w:t>
      </w:r>
      <w:r>
        <w:rPr>
          <w:rFonts w:hint="eastAsia" w:ascii="宋体" w:hAnsi="宋体" w:cs="宋体"/>
          <w:szCs w:val="21"/>
        </w:rPr>
        <w:t>。</w:t>
      </w:r>
    </w:p>
    <w:p w14:paraId="034EE56B">
      <w:pPr>
        <w:spacing w:line="400" w:lineRule="exact"/>
        <w:ind w:firstLine="420"/>
        <w:rPr>
          <w:rFonts w:ascii="宋体" w:hAnsi="宋体" w:cs="宋体"/>
          <w:szCs w:val="21"/>
        </w:rPr>
      </w:pPr>
      <w:r>
        <w:rPr>
          <w:rFonts w:hint="eastAsia" w:ascii="宋体" w:hAnsi="宋体" w:cs="宋体"/>
          <w:szCs w:val="21"/>
        </w:rPr>
        <w:t>3、包装要求：行业标准。</w:t>
      </w:r>
    </w:p>
    <w:p w14:paraId="14425FFD">
      <w:pPr>
        <w:spacing w:line="400" w:lineRule="exact"/>
        <w:ind w:firstLine="420"/>
        <w:rPr>
          <w:rFonts w:ascii="宋体" w:hAnsi="宋体" w:cs="宋体"/>
          <w:szCs w:val="21"/>
        </w:rPr>
      </w:pPr>
      <w:r>
        <w:rPr>
          <w:rFonts w:hint="eastAsia" w:ascii="宋体" w:hAnsi="宋体" w:cs="宋体"/>
          <w:szCs w:val="21"/>
        </w:rPr>
        <w:t>4、运输方式：乙方负责送货上门。</w:t>
      </w:r>
    </w:p>
    <w:p w14:paraId="522BE8D6">
      <w:pPr>
        <w:spacing w:line="400" w:lineRule="exact"/>
        <w:ind w:firstLine="420"/>
        <w:rPr>
          <w:rFonts w:ascii="宋体" w:hAnsi="宋体" w:cs="宋体"/>
          <w:szCs w:val="21"/>
        </w:rPr>
      </w:pPr>
      <w:r>
        <w:rPr>
          <w:rFonts w:hint="eastAsia" w:ascii="宋体" w:hAnsi="宋体" w:cs="宋体"/>
          <w:szCs w:val="21"/>
        </w:rPr>
        <w:t>五、产品的验收</w:t>
      </w:r>
    </w:p>
    <w:p w14:paraId="37FF4F06">
      <w:pPr>
        <w:numPr>
          <w:ilvl w:val="0"/>
          <w:numId w:val="7"/>
        </w:numPr>
        <w:spacing w:after="200" w:line="400" w:lineRule="exact"/>
        <w:ind w:left="6" w:firstLine="413" w:firstLineChars="197"/>
        <w:rPr>
          <w:rFonts w:ascii="宋体" w:hAnsi="宋体" w:cs="宋体"/>
          <w:szCs w:val="21"/>
        </w:rPr>
      </w:pPr>
      <w:r>
        <w:rPr>
          <w:rFonts w:hint="eastAsia" w:ascii="宋体" w:hAnsi="宋体" w:cs="宋体"/>
          <w:szCs w:val="21"/>
        </w:rPr>
        <w:t>乙方按期将产品送至甲方指定的地点后，甲方对产品数量、规格型号、包装进行查验，以确认乙方是否按照合同约定交货。</w:t>
      </w:r>
    </w:p>
    <w:p w14:paraId="1584B347">
      <w:pPr>
        <w:numPr>
          <w:ilvl w:val="0"/>
          <w:numId w:val="7"/>
        </w:numPr>
        <w:spacing w:line="400" w:lineRule="exact"/>
        <w:ind w:left="6" w:firstLine="415" w:firstLineChars="197"/>
        <w:rPr>
          <w:rFonts w:ascii="宋体" w:hAnsi="宋体" w:cs="宋体"/>
          <w:szCs w:val="21"/>
        </w:rPr>
      </w:pPr>
      <w:r>
        <w:rPr>
          <w:rFonts w:hint="eastAsia" w:ascii="宋体" w:hAnsi="宋体" w:cs="宋体"/>
          <w:b/>
          <w:szCs w:val="21"/>
        </w:rPr>
        <w:t>乙方交付的产品不允许溢短装。产品数量少于合同约定的，乙方应当在交付之日起</w:t>
      </w:r>
      <w:r>
        <w:rPr>
          <w:rFonts w:hint="eastAsia" w:ascii="宋体" w:hAnsi="宋体" w:cs="宋体"/>
          <w:b/>
          <w:szCs w:val="21"/>
          <w:u w:val="single"/>
        </w:rPr>
        <w:t xml:space="preserve"> 3 </w:t>
      </w:r>
      <w:r>
        <w:rPr>
          <w:rFonts w:hint="eastAsia" w:ascii="宋体" w:hAnsi="宋体" w:cs="宋体"/>
          <w:b/>
          <w:szCs w:val="21"/>
        </w:rPr>
        <w:t>日内补足数量；产品数量多于合同约定的，甲方有权拒收。因产品溢短装产生的一切费用均由乙方承担</w:t>
      </w:r>
      <w:r>
        <w:rPr>
          <w:rFonts w:hint="eastAsia" w:ascii="宋体" w:hAnsi="宋体" w:cs="宋体"/>
          <w:szCs w:val="21"/>
        </w:rPr>
        <w:t>。</w:t>
      </w:r>
    </w:p>
    <w:p w14:paraId="4141DB48">
      <w:pPr>
        <w:numPr>
          <w:ilvl w:val="0"/>
          <w:numId w:val="7"/>
        </w:numPr>
        <w:spacing w:line="400" w:lineRule="exact"/>
        <w:ind w:left="6" w:firstLine="415" w:firstLineChars="197"/>
        <w:rPr>
          <w:rFonts w:ascii="宋体" w:hAnsi="宋体" w:cs="宋体"/>
          <w:szCs w:val="21"/>
        </w:rPr>
      </w:pPr>
      <w:r>
        <w:rPr>
          <w:rFonts w:hint="eastAsia" w:ascii="宋体" w:hAnsi="宋体" w:cs="宋体"/>
          <w:b/>
          <w:szCs w:val="21"/>
        </w:rPr>
        <w:t>甲方对产品的交货验收不视为甲方对乙方产品质量的确认</w:t>
      </w:r>
      <w:r>
        <w:rPr>
          <w:rFonts w:hint="eastAsia" w:ascii="宋体" w:hAnsi="宋体" w:cs="宋体"/>
          <w:szCs w:val="21"/>
        </w:rPr>
        <w:t>，不减轻或免除乙方本合同项下应承担的质量责任。</w:t>
      </w:r>
    </w:p>
    <w:p w14:paraId="53537C23">
      <w:pPr>
        <w:numPr>
          <w:ilvl w:val="0"/>
          <w:numId w:val="7"/>
        </w:numPr>
        <w:spacing w:after="200" w:line="400" w:lineRule="exact"/>
        <w:ind w:left="6" w:firstLine="415" w:firstLineChars="197"/>
        <w:rPr>
          <w:rFonts w:ascii="宋体" w:hAnsi="宋体" w:cs="宋体"/>
          <w:szCs w:val="21"/>
        </w:rPr>
      </w:pPr>
      <w:r>
        <w:rPr>
          <w:rFonts w:hint="eastAsia" w:ascii="宋体" w:hAnsi="宋体" w:cs="宋体"/>
          <w:b/>
          <w:szCs w:val="21"/>
        </w:rPr>
        <w:t>产品交付后，甲方在安装和/或使用过程中，发现产品存在质量问题，或者产品性能不符合本合同约定、相关质量标准或甲方的使用要求的，乙方应无条件予以更换，更换所产生的费用由乙方承担，甲方有权</w:t>
      </w:r>
      <w:r>
        <w:rPr>
          <w:rFonts w:hint="eastAsia" w:ascii="宋体" w:hAnsi="宋体" w:cs="宋体"/>
          <w:b/>
          <w:bCs/>
          <w:szCs w:val="21"/>
        </w:rPr>
        <w:t>要求乙方赔偿甲方因此造成的一切损失。若乙方怠于更换的，甲方有权另行采购相应产品，因此产生的一切费用概由乙方承担。</w:t>
      </w:r>
    </w:p>
    <w:p w14:paraId="00DDB730">
      <w:pPr>
        <w:spacing w:line="400" w:lineRule="exact"/>
        <w:ind w:firstLine="420"/>
        <w:rPr>
          <w:rFonts w:ascii="宋体" w:hAnsi="宋体" w:cs="宋体"/>
          <w:szCs w:val="21"/>
        </w:rPr>
      </w:pPr>
      <w:r>
        <w:rPr>
          <w:rFonts w:hint="eastAsia" w:ascii="宋体" w:hAnsi="宋体" w:cs="宋体"/>
          <w:szCs w:val="21"/>
        </w:rPr>
        <w:t>六、</w:t>
      </w:r>
      <w:r>
        <w:rPr>
          <w:rFonts w:hint="eastAsia" w:ascii="宋体" w:hAnsi="宋体" w:cs="宋体"/>
          <w:sz w:val="24"/>
        </w:rPr>
        <w:t>产品质保</w:t>
      </w:r>
    </w:p>
    <w:p w14:paraId="3DA7497B">
      <w:pPr>
        <w:spacing w:line="400" w:lineRule="exact"/>
        <w:ind w:left="630" w:leftChars="200" w:hanging="210" w:hangingChars="100"/>
        <w:rPr>
          <w:rFonts w:ascii="宋体" w:hAnsi="宋体" w:cs="宋体"/>
          <w:szCs w:val="21"/>
        </w:rPr>
      </w:pPr>
      <w:r>
        <w:rPr>
          <w:rFonts w:hint="eastAsia" w:ascii="宋体" w:hAnsi="宋体" w:cs="宋体"/>
          <w:szCs w:val="21"/>
        </w:rPr>
        <w:t>1、乙方承诺所售产品实行产品质保，质保期自通过验收之日起计算，具体按照以下第</w:t>
      </w:r>
      <w:r>
        <w:rPr>
          <w:rFonts w:hint="eastAsia" w:ascii="宋体" w:hAnsi="宋体" w:cs="宋体"/>
          <w:b/>
          <w:szCs w:val="21"/>
          <w:u w:val="single"/>
        </w:rPr>
        <w:t>_1.3_</w:t>
      </w:r>
      <w:r>
        <w:rPr>
          <w:rFonts w:hint="eastAsia" w:ascii="宋体" w:hAnsi="宋体" w:cs="宋体"/>
          <w:szCs w:val="21"/>
        </w:rPr>
        <w:t>种方式执行：</w:t>
      </w:r>
    </w:p>
    <w:p w14:paraId="32950570">
      <w:pPr>
        <w:spacing w:line="400" w:lineRule="exact"/>
        <w:ind w:firstLine="420"/>
        <w:rPr>
          <w:rFonts w:ascii="宋体" w:hAnsi="宋体" w:cs="宋体"/>
          <w:szCs w:val="21"/>
        </w:rPr>
      </w:pPr>
      <w:r>
        <w:rPr>
          <w:rFonts w:hint="eastAsia" w:ascii="宋体" w:hAnsi="宋体" w:cs="宋体"/>
          <w:szCs w:val="21"/>
        </w:rPr>
        <w:t>1.1 按照国家三包相关规定执行；</w:t>
      </w:r>
    </w:p>
    <w:p w14:paraId="185D04F5">
      <w:pPr>
        <w:spacing w:line="400" w:lineRule="exact"/>
        <w:ind w:firstLine="420"/>
        <w:rPr>
          <w:rFonts w:ascii="宋体" w:hAnsi="宋体" w:cs="宋体"/>
          <w:szCs w:val="21"/>
        </w:rPr>
      </w:pPr>
      <w:r>
        <w:rPr>
          <w:rFonts w:hint="eastAsia" w:ascii="宋体" w:hAnsi="宋体" w:cs="宋体"/>
          <w:szCs w:val="21"/>
        </w:rPr>
        <w:t>1.2 按照产品行业/乙方三包政策执行；</w:t>
      </w:r>
    </w:p>
    <w:p w14:paraId="14867D8E">
      <w:pPr>
        <w:spacing w:line="400" w:lineRule="exact"/>
        <w:ind w:firstLine="420"/>
        <w:rPr>
          <w:rFonts w:ascii="宋体" w:hAnsi="宋体" w:cs="宋体"/>
          <w:szCs w:val="21"/>
        </w:rPr>
      </w:pPr>
      <w:r>
        <w:rPr>
          <w:rFonts w:hint="eastAsia" w:ascii="宋体" w:hAnsi="宋体" w:cs="宋体"/>
          <w:szCs w:val="21"/>
        </w:rPr>
        <w:t>1.3产品自甲方确认收到之日起</w:t>
      </w:r>
      <w:r>
        <w:rPr>
          <w:rFonts w:hint="eastAsia" w:ascii="宋体" w:hAnsi="宋体" w:cs="宋体"/>
          <w:szCs w:val="21"/>
          <w:u w:val="single"/>
        </w:rPr>
        <w:t>7</w:t>
      </w:r>
      <w:r>
        <w:rPr>
          <w:rFonts w:hint="eastAsia" w:ascii="宋体" w:hAnsi="宋体" w:cs="宋体"/>
          <w:szCs w:val="21"/>
        </w:rPr>
        <w:t>天内，发生性能故障，甲方可以选择退货、换货；产品自甲方确认收到之日起</w:t>
      </w:r>
      <w:r>
        <w:rPr>
          <w:rFonts w:hint="eastAsia" w:ascii="宋体" w:hAnsi="宋体" w:cs="宋体"/>
          <w:szCs w:val="21"/>
          <w:u w:val="single"/>
        </w:rPr>
        <w:t>15</w:t>
      </w:r>
      <w:r>
        <w:rPr>
          <w:rFonts w:hint="eastAsia" w:ascii="宋体" w:hAnsi="宋体" w:cs="宋体"/>
          <w:szCs w:val="21"/>
        </w:rPr>
        <w:t>天内，发生性能故障，甲方可以选择换货或者修理；</w:t>
      </w:r>
      <w:r>
        <w:rPr>
          <w:rFonts w:hint="eastAsia" w:ascii="宋体" w:hAnsi="宋体" w:cs="宋体"/>
          <w:b/>
          <w:szCs w:val="21"/>
          <w:u w:val="single"/>
        </w:rPr>
        <w:t>项目整体质保3年</w:t>
      </w:r>
      <w:r>
        <w:rPr>
          <w:rFonts w:hint="eastAsia" w:ascii="宋体" w:hAnsi="宋体" w:cs="宋体"/>
          <w:szCs w:val="21"/>
        </w:rPr>
        <w:t>。</w:t>
      </w:r>
    </w:p>
    <w:p w14:paraId="3E3BE6EB">
      <w:pPr>
        <w:spacing w:line="400" w:lineRule="exact"/>
        <w:ind w:firstLine="422"/>
        <w:rPr>
          <w:rFonts w:ascii="宋体" w:hAnsi="宋体" w:cs="宋体"/>
          <w:b/>
          <w:szCs w:val="21"/>
        </w:rPr>
      </w:pPr>
      <w:r>
        <w:rPr>
          <w:rFonts w:hint="eastAsia" w:ascii="宋体" w:hAnsi="宋体" w:cs="宋体"/>
          <w:b/>
          <w:szCs w:val="21"/>
        </w:rPr>
        <w:t>2、质保期内，因产品故障或发生质量问题时，乙方应自接到甲方书面通知之日起</w:t>
      </w:r>
      <w:r>
        <w:rPr>
          <w:rFonts w:hint="eastAsia" w:ascii="宋体" w:hAnsi="宋体" w:cs="宋体"/>
          <w:b/>
          <w:szCs w:val="21"/>
          <w:u w:val="single"/>
        </w:rPr>
        <w:t xml:space="preserve"> 十</w:t>
      </w:r>
      <w:r>
        <w:rPr>
          <w:rFonts w:hint="eastAsia" w:ascii="宋体" w:hAnsi="宋体" w:cs="宋体"/>
          <w:b/>
          <w:szCs w:val="21"/>
        </w:rPr>
        <w:t>日内进行修理或更换，因修理或更换所产生的费用由乙方承担。不能修理，或经</w:t>
      </w:r>
      <w:r>
        <w:rPr>
          <w:rFonts w:hint="eastAsia" w:ascii="宋体" w:hAnsi="宋体" w:cs="宋体"/>
          <w:b/>
          <w:szCs w:val="21"/>
          <w:u w:val="single"/>
        </w:rPr>
        <w:t>两</w:t>
      </w:r>
      <w:r>
        <w:rPr>
          <w:rFonts w:hint="eastAsia" w:ascii="宋体" w:hAnsi="宋体" w:cs="宋体"/>
          <w:b/>
          <w:szCs w:val="21"/>
        </w:rPr>
        <w:t>次修理仍不符合质量要求的，甲方有权退货，乙方应根据合同约定向甲方承担违约责任。</w:t>
      </w:r>
    </w:p>
    <w:p w14:paraId="0A139E90">
      <w:pPr>
        <w:spacing w:line="400" w:lineRule="exact"/>
        <w:ind w:firstLine="420"/>
        <w:rPr>
          <w:rFonts w:ascii="宋体" w:hAnsi="宋体" w:cs="宋体"/>
          <w:szCs w:val="21"/>
        </w:rPr>
      </w:pPr>
      <w:r>
        <w:rPr>
          <w:rFonts w:hint="eastAsia" w:ascii="宋体" w:hAnsi="宋体" w:cs="宋体"/>
          <w:szCs w:val="21"/>
        </w:rPr>
        <w:t>3、如对产品故障或质量问题产生争议的，可将该争议提交双方认可的国家质检机构检测，双方认可检验报告为产品质量的结论性证据。</w:t>
      </w:r>
      <w:r>
        <w:rPr>
          <w:rFonts w:hint="eastAsia" w:ascii="宋体" w:hAnsi="宋体" w:cs="宋体"/>
          <w:b/>
          <w:szCs w:val="21"/>
        </w:rPr>
        <w:t>乙方不配合检测的，甲方可自行委托检测。检测结果为产品合格的，检测费由甲方承担；检测结果为产品不合格的，检测费由乙方承担</w:t>
      </w:r>
      <w:r>
        <w:rPr>
          <w:rFonts w:hint="eastAsia" w:ascii="宋体" w:hAnsi="宋体" w:cs="宋体"/>
          <w:szCs w:val="21"/>
        </w:rPr>
        <w:t>。</w:t>
      </w:r>
    </w:p>
    <w:p w14:paraId="5BBC00DA">
      <w:pPr>
        <w:spacing w:line="400" w:lineRule="exact"/>
        <w:ind w:firstLine="420"/>
        <w:rPr>
          <w:rFonts w:ascii="宋体" w:hAnsi="宋体" w:cs="宋体"/>
          <w:szCs w:val="21"/>
        </w:rPr>
      </w:pPr>
      <w:r>
        <w:rPr>
          <w:rFonts w:hint="eastAsia" w:ascii="宋体" w:hAnsi="宋体" w:cs="宋体"/>
          <w:szCs w:val="21"/>
        </w:rPr>
        <w:t>4、</w:t>
      </w:r>
      <w:r>
        <w:rPr>
          <w:rFonts w:hint="eastAsia" w:ascii="宋体" w:hAnsi="宋体" w:cs="宋体"/>
          <w:b/>
          <w:szCs w:val="21"/>
        </w:rPr>
        <w:t>任何时候，因产品故障或质量问题造成甲方或任何其他方人员、财产及生产经营损失的，由乙方负责赔偿。若甲方为此垫付相关费用或已先行承担责任的，则有权向乙方追偿</w:t>
      </w:r>
      <w:r>
        <w:rPr>
          <w:rFonts w:hint="eastAsia" w:ascii="宋体" w:hAnsi="宋体" w:cs="宋体"/>
          <w:szCs w:val="21"/>
        </w:rPr>
        <w:t>。</w:t>
      </w:r>
    </w:p>
    <w:p w14:paraId="4EA6FD7A">
      <w:pPr>
        <w:spacing w:line="400" w:lineRule="exact"/>
        <w:ind w:firstLine="420"/>
        <w:rPr>
          <w:rFonts w:ascii="宋体" w:hAnsi="宋体" w:cs="宋体"/>
          <w:szCs w:val="21"/>
        </w:rPr>
      </w:pPr>
      <w:r>
        <w:rPr>
          <w:rFonts w:hint="eastAsia" w:ascii="宋体" w:hAnsi="宋体" w:cs="宋体"/>
          <w:szCs w:val="21"/>
        </w:rPr>
        <w:t>5、质保期届满后，乙方同意仍然按照优惠价格（不高于市场价）提供产品的维修、零配件的更换。</w:t>
      </w:r>
    </w:p>
    <w:p w14:paraId="4D4366CF">
      <w:pPr>
        <w:spacing w:line="400" w:lineRule="exact"/>
        <w:ind w:firstLine="420"/>
        <w:rPr>
          <w:rFonts w:ascii="宋体" w:hAnsi="宋体" w:cs="宋体"/>
          <w:szCs w:val="21"/>
        </w:rPr>
      </w:pPr>
      <w:r>
        <w:rPr>
          <w:rFonts w:hint="eastAsia" w:ascii="宋体" w:hAnsi="宋体" w:cs="宋体"/>
          <w:szCs w:val="21"/>
        </w:rPr>
        <w:t>七、履约保证金及货款结算与支付</w:t>
      </w:r>
    </w:p>
    <w:p w14:paraId="7F944E6A">
      <w:pPr>
        <w:spacing w:line="400" w:lineRule="exact"/>
        <w:ind w:firstLine="420"/>
        <w:rPr>
          <w:rFonts w:ascii="宋体" w:hAnsi="宋体" w:cs="宋体"/>
          <w:szCs w:val="21"/>
        </w:rPr>
      </w:pPr>
      <w:r>
        <w:rPr>
          <w:rFonts w:hint="eastAsia" w:ascii="宋体" w:hAnsi="宋体" w:cs="宋体"/>
          <w:szCs w:val="21"/>
        </w:rPr>
        <w:t>1、在合同签订前，乙方提供合同价款5%的履约保证金，如乙方在签约前未在规定的时间内提交履约保证金，则甲方有权拒签合同。</w:t>
      </w:r>
    </w:p>
    <w:p w14:paraId="5687BB08">
      <w:pPr>
        <w:spacing w:line="400" w:lineRule="exact"/>
        <w:ind w:firstLine="420"/>
        <w:rPr>
          <w:rFonts w:ascii="宋体" w:hAnsi="宋体" w:cs="宋体"/>
          <w:szCs w:val="21"/>
        </w:rPr>
      </w:pPr>
      <w:r>
        <w:rPr>
          <w:rFonts w:hint="eastAsia" w:ascii="宋体" w:hAnsi="宋体" w:cs="宋体"/>
          <w:szCs w:val="21"/>
        </w:rPr>
        <w:t>2、履约保证金自合同签订之日起至货物验收合格之日止有效。货物验收合格后，履约保证金自动转为质量保证金。</w:t>
      </w:r>
    </w:p>
    <w:p w14:paraId="4D15305A">
      <w:pPr>
        <w:spacing w:line="400" w:lineRule="exact"/>
        <w:ind w:firstLine="420"/>
        <w:rPr>
          <w:rFonts w:ascii="宋体" w:hAnsi="宋体" w:cs="宋体"/>
          <w:szCs w:val="21"/>
        </w:rPr>
      </w:pPr>
      <w:r>
        <w:rPr>
          <w:rFonts w:hint="eastAsia" w:ascii="宋体" w:hAnsi="宋体" w:cs="宋体"/>
          <w:szCs w:val="21"/>
        </w:rPr>
        <w:t>3、结算方式：合同生效后乙方开具合同金额30%的正式收据，甲方在收到收据且确认无误后30个日历天内先预付30%合同款;甲方收到货物验收合格，且乙方向甲方出具全额增值税专用发票核对无误后，甲方支付合同总额的</w:t>
      </w:r>
      <w:r>
        <w:rPr>
          <w:rFonts w:hint="eastAsia" w:ascii="宋体" w:hAnsi="宋体" w:cs="宋体"/>
          <w:szCs w:val="21"/>
          <w:u w:val="single"/>
        </w:rPr>
        <w:t>70%</w:t>
      </w:r>
      <w:r>
        <w:rPr>
          <w:rFonts w:hint="eastAsia" w:ascii="宋体" w:hAnsi="宋体" w:cs="宋体"/>
          <w:szCs w:val="21"/>
        </w:rPr>
        <w:t xml:space="preserve"> 。</w:t>
      </w:r>
    </w:p>
    <w:p w14:paraId="22C1EA4B">
      <w:pPr>
        <w:spacing w:line="400" w:lineRule="exact"/>
        <w:ind w:firstLine="420"/>
        <w:rPr>
          <w:rFonts w:ascii="宋体" w:hAnsi="宋体" w:cs="宋体"/>
        </w:rPr>
      </w:pPr>
      <w:r>
        <w:rPr>
          <w:rFonts w:hint="eastAsia" w:ascii="宋体" w:hAnsi="宋体" w:cs="宋体"/>
        </w:rPr>
        <w:t>4、甲方支付货款前，乙方应首先向甲方开具增值税发票，</w:t>
      </w:r>
      <w:r>
        <w:rPr>
          <w:rFonts w:hint="eastAsia" w:ascii="宋体" w:hAnsi="宋体" w:cs="宋体"/>
          <w:b/>
          <w:bCs/>
        </w:rPr>
        <w:t>否则甲方有权暂停支付</w:t>
      </w:r>
      <w:r>
        <w:rPr>
          <w:rFonts w:hint="eastAsia" w:ascii="宋体" w:hAnsi="宋体" w:cs="宋体"/>
        </w:rPr>
        <w:t>。甲方在满足上述付款条件并收到正确增值税发票后以转账方式支付。</w:t>
      </w:r>
    </w:p>
    <w:p w14:paraId="0577E3A5">
      <w:pPr>
        <w:spacing w:line="400" w:lineRule="exact"/>
        <w:ind w:firstLine="420"/>
        <w:rPr>
          <w:rFonts w:ascii="宋体" w:hAnsi="宋体" w:cs="宋体"/>
        </w:rPr>
      </w:pPr>
      <w:r>
        <w:rPr>
          <w:rFonts w:hint="eastAsia" w:ascii="宋体" w:hAnsi="宋体" w:cs="宋体"/>
        </w:rPr>
        <w:t>5、</w:t>
      </w:r>
      <w:r>
        <w:rPr>
          <w:rFonts w:hint="eastAsia" w:ascii="宋体" w:hAnsi="宋体" w:cs="宋体"/>
          <w:b/>
        </w:rPr>
        <w:t>因乙方原因产生的任何违约金、赔偿金等款项，甲方均有权在应付款项中直接扣除</w:t>
      </w:r>
      <w:r>
        <w:rPr>
          <w:rFonts w:hint="eastAsia" w:ascii="宋体" w:hAnsi="宋体" w:cs="宋体"/>
        </w:rPr>
        <w:t>。</w:t>
      </w:r>
    </w:p>
    <w:p w14:paraId="7D633543">
      <w:pPr>
        <w:spacing w:line="400" w:lineRule="exact"/>
        <w:ind w:firstLine="420"/>
        <w:rPr>
          <w:rFonts w:ascii="宋体" w:hAnsi="宋体" w:cs="宋体"/>
          <w:szCs w:val="21"/>
        </w:rPr>
      </w:pPr>
      <w:r>
        <w:rPr>
          <w:rFonts w:hint="eastAsia" w:ascii="宋体" w:hAnsi="宋体" w:cs="宋体"/>
          <w:szCs w:val="21"/>
        </w:rPr>
        <w:t>八、违约责任</w:t>
      </w:r>
    </w:p>
    <w:p w14:paraId="1267100A">
      <w:pPr>
        <w:spacing w:line="400" w:lineRule="exact"/>
        <w:ind w:firstLine="420"/>
        <w:rPr>
          <w:rFonts w:ascii="宋体" w:hAnsi="宋体" w:cs="宋体"/>
          <w:szCs w:val="21"/>
        </w:rPr>
      </w:pPr>
      <w:r>
        <w:rPr>
          <w:rFonts w:hint="eastAsia" w:ascii="宋体" w:hAnsi="宋体" w:cs="宋体"/>
          <w:szCs w:val="21"/>
        </w:rPr>
        <w:t>1、甲方延迟支付货款的，每延迟一日，甲方应当支付给乙方延迟支付部分货款金额</w:t>
      </w:r>
      <w:r>
        <w:rPr>
          <w:rFonts w:hint="eastAsia" w:ascii="宋体" w:hAnsi="宋体" w:cs="宋体"/>
          <w:szCs w:val="21"/>
          <w:u w:val="single"/>
        </w:rPr>
        <w:t>0.2%</w:t>
      </w:r>
      <w:r>
        <w:rPr>
          <w:rFonts w:hint="eastAsia" w:ascii="宋体" w:hAnsi="宋体" w:cs="宋体"/>
          <w:szCs w:val="21"/>
        </w:rPr>
        <w:t>的违约金。</w:t>
      </w:r>
    </w:p>
    <w:p w14:paraId="5EDE11D7">
      <w:pPr>
        <w:spacing w:line="400" w:lineRule="exact"/>
        <w:ind w:firstLine="420"/>
        <w:rPr>
          <w:rFonts w:ascii="宋体" w:hAnsi="宋体" w:cs="宋体"/>
          <w:szCs w:val="21"/>
        </w:rPr>
      </w:pPr>
      <w:r>
        <w:rPr>
          <w:rFonts w:hint="eastAsia" w:ascii="宋体" w:hAnsi="宋体" w:cs="宋体"/>
          <w:szCs w:val="21"/>
        </w:rPr>
        <w:t>2、</w:t>
      </w:r>
      <w:r>
        <w:rPr>
          <w:rFonts w:hint="eastAsia" w:ascii="宋体" w:hAnsi="宋体" w:cs="宋体"/>
          <w:b/>
          <w:szCs w:val="21"/>
        </w:rPr>
        <w:t>乙方未在合同约定的期限内完成交货并经甲方验收合格的，每逾期一日，乙方应当支付给甲方逾期交货部分货款总金额</w:t>
      </w:r>
      <w:r>
        <w:rPr>
          <w:rFonts w:hint="eastAsia" w:ascii="宋体" w:hAnsi="宋体" w:cs="宋体"/>
          <w:b/>
          <w:szCs w:val="21"/>
          <w:u w:val="single"/>
        </w:rPr>
        <w:t xml:space="preserve"> 0.2 %</w:t>
      </w:r>
      <w:r>
        <w:rPr>
          <w:rFonts w:hint="eastAsia" w:ascii="宋体" w:hAnsi="宋体" w:cs="宋体"/>
          <w:b/>
          <w:szCs w:val="21"/>
        </w:rPr>
        <w:t>的违约金；逾期交付超过</w:t>
      </w:r>
      <w:r>
        <w:rPr>
          <w:rFonts w:hint="eastAsia" w:ascii="宋体" w:hAnsi="宋体" w:cs="宋体"/>
          <w:b/>
          <w:szCs w:val="21"/>
          <w:u w:val="single"/>
        </w:rPr>
        <w:t>10</w:t>
      </w:r>
      <w:r>
        <w:rPr>
          <w:rFonts w:hint="eastAsia" w:ascii="宋体" w:hAnsi="宋体" w:cs="宋体"/>
          <w:b/>
          <w:szCs w:val="21"/>
        </w:rPr>
        <w:t>天的，甲方有权单方解除合同，且乙方应返还甲方全部已付货款，并支付合同总价款10%的违约金。因逾期交货造成甲方不能正常生产经营的，乙方还应当赔偿因此给甲方造成的一切经济损失</w:t>
      </w:r>
      <w:r>
        <w:rPr>
          <w:rFonts w:hint="eastAsia" w:ascii="宋体" w:hAnsi="宋体" w:cs="宋体"/>
          <w:szCs w:val="21"/>
        </w:rPr>
        <w:t>。</w:t>
      </w:r>
    </w:p>
    <w:p w14:paraId="3C540B4B">
      <w:pPr>
        <w:spacing w:line="400" w:lineRule="exact"/>
        <w:ind w:firstLine="420"/>
        <w:rPr>
          <w:rFonts w:ascii="宋体" w:hAnsi="宋体" w:cs="宋体"/>
          <w:szCs w:val="21"/>
        </w:rPr>
      </w:pPr>
      <w:r>
        <w:rPr>
          <w:rFonts w:hint="eastAsia" w:ascii="宋体" w:hAnsi="宋体" w:cs="宋体"/>
          <w:szCs w:val="21"/>
        </w:rPr>
        <w:t>3、</w:t>
      </w:r>
      <w:r>
        <w:rPr>
          <w:rFonts w:hint="eastAsia" w:ascii="宋体" w:hAnsi="宋体" w:cs="宋体"/>
          <w:b/>
          <w:szCs w:val="21"/>
        </w:rPr>
        <w:t>乙方交付的产品</w:t>
      </w:r>
      <w:r>
        <w:rPr>
          <w:rFonts w:hint="eastAsia" w:ascii="宋体" w:hAnsi="宋体" w:cs="宋体"/>
          <w:b/>
          <w:szCs w:val="21"/>
          <w:u w:val="single"/>
        </w:rPr>
        <w:t>5</w:t>
      </w:r>
      <w:r>
        <w:rPr>
          <w:rFonts w:hint="eastAsia" w:ascii="宋体" w:hAnsi="宋体" w:cs="宋体"/>
          <w:b/>
          <w:szCs w:val="21"/>
        </w:rPr>
        <w:t>次（含本数）以上不符合本合同约定的质量要求的，甲方有权单方解除本合同，并有权要求乙方支付合同总价款</w:t>
      </w:r>
      <w:r>
        <w:rPr>
          <w:rFonts w:hint="eastAsia" w:ascii="宋体" w:hAnsi="宋体" w:cs="宋体"/>
          <w:b/>
          <w:szCs w:val="21"/>
          <w:u w:val="single"/>
        </w:rPr>
        <w:t xml:space="preserve"> 10 </w:t>
      </w:r>
      <w:r>
        <w:rPr>
          <w:rFonts w:hint="eastAsia" w:ascii="宋体" w:hAnsi="宋体" w:cs="宋体"/>
          <w:b/>
          <w:szCs w:val="21"/>
        </w:rPr>
        <w:t>%的违约金</w:t>
      </w:r>
      <w:r>
        <w:rPr>
          <w:rFonts w:hint="eastAsia" w:ascii="宋体" w:hAnsi="宋体" w:cs="宋体"/>
          <w:szCs w:val="21"/>
        </w:rPr>
        <w:t>。</w:t>
      </w:r>
    </w:p>
    <w:p w14:paraId="138B7026">
      <w:pPr>
        <w:spacing w:line="400" w:lineRule="exact"/>
        <w:ind w:firstLine="420"/>
        <w:rPr>
          <w:rFonts w:ascii="宋体" w:hAnsi="宋体" w:cs="宋体"/>
          <w:szCs w:val="21"/>
        </w:rPr>
      </w:pPr>
      <w:r>
        <w:rPr>
          <w:rFonts w:hint="eastAsia" w:ascii="宋体" w:hAnsi="宋体" w:cs="宋体"/>
          <w:szCs w:val="21"/>
        </w:rPr>
        <w:t>4、</w:t>
      </w:r>
      <w:r>
        <w:rPr>
          <w:rFonts w:hint="eastAsia" w:ascii="宋体" w:hAnsi="宋体" w:cs="宋体"/>
          <w:b/>
          <w:szCs w:val="21"/>
        </w:rPr>
        <w:t>如乙方交付的产品以次充好、假冒伪劣、掺假掺杂、无权销售</w:t>
      </w:r>
      <w:r>
        <w:rPr>
          <w:rFonts w:hint="eastAsia" w:ascii="宋体" w:hAnsi="宋体" w:cs="宋体"/>
          <w:b/>
          <w:bCs/>
          <w:szCs w:val="21"/>
        </w:rPr>
        <w:t>或存在其他欺诈行为</w:t>
      </w:r>
      <w:r>
        <w:rPr>
          <w:rFonts w:hint="eastAsia" w:ascii="宋体" w:hAnsi="宋体" w:cs="宋体"/>
          <w:b/>
          <w:szCs w:val="21"/>
        </w:rPr>
        <w:t>的，甲方有权单方解除合同，并有权要求乙方支付预计总价金额三倍的赔偿金，因此造成甲方人员、财产、生产经营损失的，乙方还需赔偿给甲方造成的一切损失（包括直接损失、可得利益的损失以及主张权利的费用）</w:t>
      </w:r>
      <w:r>
        <w:rPr>
          <w:rFonts w:hint="eastAsia" w:ascii="宋体" w:hAnsi="宋体" w:cs="宋体"/>
          <w:szCs w:val="21"/>
        </w:rPr>
        <w:t>。</w:t>
      </w:r>
    </w:p>
    <w:p w14:paraId="21D27F04">
      <w:pPr>
        <w:spacing w:line="400" w:lineRule="exact"/>
        <w:ind w:firstLine="420"/>
        <w:rPr>
          <w:rFonts w:ascii="宋体" w:hAnsi="宋体" w:cs="宋体"/>
          <w:szCs w:val="21"/>
        </w:rPr>
      </w:pPr>
      <w:r>
        <w:rPr>
          <w:rFonts w:hint="eastAsia" w:ascii="宋体" w:hAnsi="宋体" w:cs="宋体"/>
          <w:szCs w:val="21"/>
        </w:rPr>
        <w:t>5、</w:t>
      </w:r>
      <w:r>
        <w:rPr>
          <w:rFonts w:hint="eastAsia" w:ascii="宋体" w:hAnsi="宋体" w:cs="宋体"/>
          <w:b/>
          <w:szCs w:val="21"/>
        </w:rPr>
        <w:t>乙方交付的产品侵犯他人知识产权的，则由乙方承担全部责任，如因此使甲方承担责任的，乙方应赔偿甲方所遭受的损失</w:t>
      </w:r>
      <w:r>
        <w:rPr>
          <w:rFonts w:hint="eastAsia" w:ascii="宋体" w:hAnsi="宋体" w:cs="宋体"/>
          <w:szCs w:val="21"/>
        </w:rPr>
        <w:t>。</w:t>
      </w:r>
    </w:p>
    <w:p w14:paraId="2ADAEAE6">
      <w:pPr>
        <w:spacing w:line="400" w:lineRule="exact"/>
        <w:ind w:firstLine="420"/>
        <w:rPr>
          <w:rFonts w:ascii="宋体" w:hAnsi="宋体" w:cs="宋体"/>
          <w:b/>
          <w:szCs w:val="21"/>
        </w:rPr>
      </w:pPr>
      <w:r>
        <w:rPr>
          <w:rFonts w:hint="eastAsia" w:ascii="宋体" w:hAnsi="宋体" w:cs="宋体"/>
          <w:szCs w:val="21"/>
        </w:rPr>
        <w:t>6、</w:t>
      </w:r>
      <w:r>
        <w:rPr>
          <w:rFonts w:hint="eastAsia" w:ascii="宋体" w:hAnsi="宋体" w:cs="宋体"/>
          <w:b/>
          <w:szCs w:val="21"/>
        </w:rPr>
        <w:t>合同任何一方违约，除应承担违约责任外，还应承担守约方实现债权所产生的费用，包括但不限于诉讼费、公证费、律师费、交通费、鉴定费、执行费等</w:t>
      </w:r>
      <w:r>
        <w:rPr>
          <w:rFonts w:hint="eastAsia" w:ascii="宋体" w:hAnsi="宋体" w:cs="宋体"/>
          <w:szCs w:val="21"/>
        </w:rPr>
        <w:t>。</w:t>
      </w:r>
    </w:p>
    <w:p w14:paraId="7AF9564F">
      <w:pPr>
        <w:numPr>
          <w:ilvl w:val="0"/>
          <w:numId w:val="8"/>
        </w:numPr>
        <w:spacing w:after="200" w:line="400" w:lineRule="exact"/>
        <w:ind w:firstLine="420"/>
        <w:rPr>
          <w:rFonts w:ascii="宋体" w:hAnsi="宋体" w:cs="宋体"/>
          <w:szCs w:val="21"/>
        </w:rPr>
      </w:pPr>
      <w:r>
        <w:rPr>
          <w:rFonts w:hint="eastAsia" w:ascii="宋体" w:hAnsi="宋体" w:cs="宋体"/>
          <w:szCs w:val="21"/>
        </w:rPr>
        <w:t>纠纷处理</w:t>
      </w:r>
    </w:p>
    <w:p w14:paraId="2143BE2B">
      <w:pPr>
        <w:spacing w:line="400" w:lineRule="exact"/>
        <w:ind w:firstLine="420"/>
        <w:rPr>
          <w:rFonts w:ascii="宋体" w:hAnsi="宋体" w:cs="宋体"/>
          <w:szCs w:val="21"/>
        </w:rPr>
      </w:pPr>
      <w:r>
        <w:rPr>
          <w:rFonts w:hint="eastAsia" w:ascii="宋体" w:hAnsi="宋体" w:cs="宋体"/>
          <w:szCs w:val="21"/>
        </w:rPr>
        <w:t>因本合同发生的，或者与本合同有关的全部争议，双方应友好协商解决，协商不成的，提交甲方所在地人民法院诉讼解决。</w:t>
      </w:r>
    </w:p>
    <w:p w14:paraId="4C8DC33F">
      <w:pPr>
        <w:spacing w:line="400" w:lineRule="exact"/>
        <w:ind w:firstLine="420"/>
        <w:rPr>
          <w:rFonts w:ascii="宋体" w:hAnsi="宋体" w:cs="宋体"/>
          <w:szCs w:val="21"/>
        </w:rPr>
      </w:pPr>
      <w:r>
        <w:rPr>
          <w:rFonts w:hint="eastAsia" w:ascii="宋体" w:hAnsi="宋体" w:cs="宋体"/>
          <w:szCs w:val="21"/>
        </w:rPr>
        <w:t>十、其他约定事项</w:t>
      </w:r>
    </w:p>
    <w:p w14:paraId="6335A506">
      <w:pPr>
        <w:spacing w:line="400" w:lineRule="exact"/>
        <w:ind w:firstLine="420"/>
        <w:rPr>
          <w:rFonts w:ascii="宋体" w:hAnsi="宋体" w:cs="宋体"/>
          <w:szCs w:val="21"/>
        </w:rPr>
      </w:pPr>
      <w:r>
        <w:rPr>
          <w:rFonts w:hint="eastAsia" w:ascii="宋体" w:hAnsi="宋体" w:cs="宋体"/>
          <w:szCs w:val="21"/>
        </w:rPr>
        <w:t>1、乙方应当在签订合同时向甲方提供其合法经营的证明文件。</w:t>
      </w:r>
    </w:p>
    <w:p w14:paraId="646CD33D">
      <w:pPr>
        <w:spacing w:line="400" w:lineRule="exact"/>
        <w:ind w:firstLine="420"/>
        <w:rPr>
          <w:rFonts w:ascii="宋体" w:hAnsi="宋体" w:cs="宋体"/>
          <w:szCs w:val="21"/>
        </w:rPr>
      </w:pPr>
      <w:r>
        <w:rPr>
          <w:rFonts w:hint="eastAsia" w:ascii="宋体" w:hAnsi="宋体" w:cs="宋体"/>
          <w:szCs w:val="21"/>
        </w:rPr>
        <w:t>2、采购项目招投标文件构成本合同附件，与本合同具有同等法律效力，当招投标文件与本合同相抵触时，以本合同为准。</w:t>
      </w:r>
    </w:p>
    <w:p w14:paraId="04CAFC04">
      <w:pPr>
        <w:spacing w:line="400" w:lineRule="exact"/>
        <w:ind w:firstLine="420"/>
        <w:rPr>
          <w:rFonts w:ascii="宋体" w:hAnsi="宋体" w:cs="宋体"/>
          <w:szCs w:val="21"/>
        </w:rPr>
      </w:pPr>
      <w:r>
        <w:rPr>
          <w:rFonts w:hint="eastAsia" w:ascii="宋体" w:hAnsi="宋体" w:cs="宋体"/>
          <w:szCs w:val="21"/>
        </w:rPr>
        <w:t>十一、本合同自双方签字盖章之日起生效。</w:t>
      </w:r>
    </w:p>
    <w:p w14:paraId="0081B704">
      <w:pPr>
        <w:spacing w:line="400" w:lineRule="exact"/>
        <w:ind w:firstLine="420"/>
        <w:rPr>
          <w:rFonts w:ascii="宋体" w:hAnsi="宋体" w:cs="宋体"/>
          <w:szCs w:val="21"/>
        </w:rPr>
      </w:pPr>
      <w:r>
        <w:rPr>
          <w:rFonts w:hint="eastAsia" w:ascii="宋体" w:hAnsi="宋体" w:cs="宋体"/>
          <w:szCs w:val="21"/>
        </w:rPr>
        <w:t>十二、文本：本合同一式</w:t>
      </w:r>
      <w:r>
        <w:rPr>
          <w:rFonts w:hint="eastAsia" w:ascii="宋体" w:hAnsi="宋体" w:cs="宋体"/>
          <w:szCs w:val="21"/>
          <w:u w:val="single"/>
        </w:rPr>
        <w:t>肆</w:t>
      </w:r>
      <w:r>
        <w:rPr>
          <w:rFonts w:hint="eastAsia" w:ascii="宋体" w:hAnsi="宋体" w:cs="宋体"/>
          <w:szCs w:val="21"/>
        </w:rPr>
        <w:t>份，甲方</w:t>
      </w:r>
      <w:r>
        <w:rPr>
          <w:rFonts w:hint="eastAsia" w:ascii="宋体" w:hAnsi="宋体" w:cs="宋体"/>
          <w:szCs w:val="21"/>
          <w:u w:val="single"/>
        </w:rPr>
        <w:t>贰</w:t>
      </w:r>
      <w:r>
        <w:rPr>
          <w:rFonts w:hint="eastAsia" w:ascii="宋体" w:hAnsi="宋体" w:cs="宋体"/>
          <w:szCs w:val="21"/>
        </w:rPr>
        <w:t>份，乙方</w:t>
      </w:r>
      <w:r>
        <w:rPr>
          <w:rFonts w:hint="eastAsia" w:ascii="宋体" w:hAnsi="宋体" w:cs="宋体"/>
          <w:szCs w:val="21"/>
          <w:u w:val="single"/>
        </w:rPr>
        <w:t>贰</w:t>
      </w:r>
      <w:r>
        <w:rPr>
          <w:rFonts w:hint="eastAsia" w:ascii="宋体" w:hAnsi="宋体" w:cs="宋体"/>
          <w:szCs w:val="21"/>
        </w:rPr>
        <w:t>份。</w:t>
      </w:r>
    </w:p>
    <w:p w14:paraId="21642261">
      <w:pPr>
        <w:spacing w:line="440" w:lineRule="exact"/>
        <w:ind w:firstLine="420"/>
        <w:rPr>
          <w:rFonts w:ascii="宋体" w:hAnsi="宋体" w:cs="宋体"/>
          <w:szCs w:val="21"/>
        </w:rPr>
      </w:pPr>
      <w:r>
        <w:rPr>
          <w:rFonts w:hint="eastAsia" w:ascii="宋体" w:hAnsi="宋体" w:cs="宋体"/>
          <w:szCs w:val="21"/>
        </w:rPr>
        <w:t>附件：1.供货清单</w:t>
      </w:r>
    </w:p>
    <w:p w14:paraId="5D909180">
      <w:pPr>
        <w:spacing w:line="440" w:lineRule="exact"/>
        <w:ind w:firstLine="440"/>
        <w:rPr>
          <w:rFonts w:ascii="宋体" w:hAnsi="宋体" w:cs="宋体"/>
          <w:szCs w:val="21"/>
        </w:rPr>
      </w:pPr>
      <w:r>
        <w:rPr>
          <w:rFonts w:hint="eastAsia" w:ascii="宋体" w:hAnsi="宋体" w:cs="宋体"/>
          <w:sz w:val="22"/>
          <w:szCs w:val="22"/>
        </w:rPr>
        <w:t xml:space="preserve">     </w:t>
      </w:r>
      <w:r>
        <w:rPr>
          <w:rFonts w:hint="eastAsia" w:ascii="宋体" w:hAnsi="宋体" w:cs="宋体"/>
          <w:szCs w:val="21"/>
        </w:rPr>
        <w:t xml:space="preserve"> 2.合作伙伴合规承诺书</w:t>
      </w:r>
    </w:p>
    <w:p w14:paraId="2A450A84">
      <w:pPr>
        <w:spacing w:line="440" w:lineRule="exact"/>
        <w:ind w:firstLine="420"/>
        <w:rPr>
          <w:rFonts w:ascii="宋体" w:hAnsi="宋体" w:cs="宋体"/>
          <w:szCs w:val="21"/>
        </w:rPr>
      </w:pPr>
      <w:r>
        <w:rPr>
          <w:rFonts w:hint="eastAsia" w:ascii="宋体" w:hAnsi="宋体" w:cs="宋体"/>
          <w:szCs w:val="21"/>
        </w:rPr>
        <w:t xml:space="preserve">      3.网络与信息安全责任书（承诺书）</w:t>
      </w:r>
    </w:p>
    <w:p w14:paraId="0EB6D6F6">
      <w:pPr>
        <w:spacing w:line="440" w:lineRule="exact"/>
        <w:ind w:firstLine="420"/>
        <w:rPr>
          <w:rFonts w:ascii="宋体" w:hAnsi="宋体" w:cs="宋体"/>
          <w:szCs w:val="21"/>
        </w:rPr>
      </w:pPr>
      <w:r>
        <w:rPr>
          <w:rFonts w:hint="eastAsia" w:ascii="宋体" w:hAnsi="宋体" w:cs="宋体"/>
          <w:szCs w:val="21"/>
        </w:rPr>
        <w:t xml:space="preserve">      4.社会治安综合治理责任书</w:t>
      </w:r>
    </w:p>
    <w:p w14:paraId="388DDA5A">
      <w:pPr>
        <w:spacing w:line="440" w:lineRule="exact"/>
        <w:ind w:firstLine="420"/>
        <w:rPr>
          <w:rFonts w:ascii="宋体" w:hAnsi="宋体" w:cs="宋体"/>
          <w:szCs w:val="21"/>
        </w:rPr>
      </w:pPr>
      <w:r>
        <w:rPr>
          <w:rFonts w:hint="eastAsia" w:ascii="宋体" w:hAnsi="宋体" w:cs="宋体"/>
          <w:szCs w:val="21"/>
        </w:rPr>
        <w:t xml:space="preserve">      5.廉政责任书</w:t>
      </w:r>
    </w:p>
    <w:p w14:paraId="6C4FA783">
      <w:pPr>
        <w:spacing w:line="440" w:lineRule="exact"/>
        <w:ind w:firstLine="420"/>
        <w:rPr>
          <w:rFonts w:ascii="宋体" w:hAnsi="宋体" w:cs="宋体"/>
          <w:szCs w:val="21"/>
        </w:rPr>
      </w:pPr>
      <w:r>
        <w:rPr>
          <w:rFonts w:hint="eastAsia" w:ascii="宋体" w:hAnsi="宋体" w:cs="宋体"/>
          <w:szCs w:val="21"/>
        </w:rPr>
        <w:t xml:space="preserve">      6.相关方安全管理协议</w:t>
      </w:r>
    </w:p>
    <w:p w14:paraId="7BBFFACF">
      <w:pPr>
        <w:spacing w:line="440" w:lineRule="exact"/>
        <w:ind w:firstLine="1050" w:firstLineChars="500"/>
        <w:rPr>
          <w:rFonts w:ascii="宋体" w:hAnsi="宋体" w:cs="宋体"/>
          <w:szCs w:val="21"/>
        </w:rPr>
      </w:pPr>
      <w:r>
        <w:rPr>
          <w:rFonts w:hint="eastAsia" w:ascii="宋体" w:hAnsi="宋体" w:cs="宋体"/>
          <w:szCs w:val="21"/>
        </w:rPr>
        <w:t>7.相关方环境保护管理协议</w:t>
      </w:r>
    </w:p>
    <w:p w14:paraId="7DD02333">
      <w:pPr>
        <w:spacing w:line="440" w:lineRule="exact"/>
        <w:ind w:firstLine="1050" w:firstLineChars="500"/>
        <w:rPr>
          <w:rFonts w:ascii="宋体" w:hAnsi="宋体" w:cs="宋体"/>
          <w:szCs w:val="21"/>
        </w:rPr>
      </w:pPr>
      <w:r>
        <w:rPr>
          <w:rFonts w:hint="eastAsia" w:ascii="宋体" w:hAnsi="宋体" w:cs="宋体"/>
          <w:szCs w:val="21"/>
        </w:rPr>
        <w:t>8.相关方消防安全协议书</w:t>
      </w:r>
    </w:p>
    <w:p w14:paraId="2BC34B41">
      <w:pPr>
        <w:spacing w:line="440" w:lineRule="exact"/>
        <w:ind w:firstLine="1050" w:firstLineChars="500"/>
        <w:rPr>
          <w:rFonts w:ascii="宋体" w:hAnsi="宋体" w:cs="宋体"/>
          <w:szCs w:val="21"/>
        </w:rPr>
      </w:pPr>
      <w:r>
        <w:rPr>
          <w:rFonts w:hint="eastAsia" w:ascii="宋体" w:hAnsi="宋体" w:cs="宋体"/>
          <w:szCs w:val="21"/>
        </w:rPr>
        <w:t>9.保</w:t>
      </w:r>
      <w:r>
        <w:rPr>
          <w:rFonts w:hint="eastAsia"/>
          <w:szCs w:val="21"/>
        </w:rPr>
        <w:t>密协议</w:t>
      </w:r>
    </w:p>
    <w:p w14:paraId="36C3715C">
      <w:pPr>
        <w:spacing w:line="440" w:lineRule="exact"/>
        <w:ind w:firstLine="0" w:firstLineChars="0"/>
        <w:rPr>
          <w:rFonts w:ascii="宋体" w:hAnsi="宋体" w:cs="宋体"/>
          <w:sz w:val="22"/>
          <w:szCs w:val="22"/>
        </w:rPr>
      </w:pPr>
    </w:p>
    <w:p w14:paraId="2894A85E">
      <w:pPr>
        <w:spacing w:line="440" w:lineRule="exact"/>
        <w:ind w:firstLine="0" w:firstLineChars="0"/>
        <w:rPr>
          <w:rFonts w:ascii="宋体" w:hAnsi="宋体" w:cs="宋体"/>
          <w:sz w:val="22"/>
          <w:szCs w:val="22"/>
        </w:rPr>
      </w:pPr>
    </w:p>
    <w:p w14:paraId="50BEC0FA">
      <w:pPr>
        <w:adjustRightInd w:val="0"/>
        <w:snapToGrid w:val="0"/>
        <w:spacing w:line="440" w:lineRule="exact"/>
        <w:ind w:firstLine="420"/>
        <w:rPr>
          <w:rFonts w:ascii="宋体" w:hAnsi="宋体" w:cs="宋体"/>
          <w:szCs w:val="21"/>
        </w:rPr>
      </w:pPr>
      <w:r>
        <w:rPr>
          <w:rFonts w:hint="eastAsia" w:ascii="宋体" w:hAnsi="宋体" w:cs="宋体"/>
          <w:szCs w:val="21"/>
        </w:rPr>
        <w:t>甲方（盖章）：                                乙方（盖章）：</w:t>
      </w:r>
    </w:p>
    <w:p w14:paraId="67CF16C4">
      <w:pPr>
        <w:adjustRightInd w:val="0"/>
        <w:snapToGrid w:val="0"/>
        <w:spacing w:line="440" w:lineRule="exact"/>
        <w:ind w:firstLine="420"/>
        <w:rPr>
          <w:rFonts w:ascii="宋体" w:hAnsi="宋体" w:cs="宋体"/>
          <w:szCs w:val="21"/>
        </w:rPr>
      </w:pPr>
    </w:p>
    <w:p w14:paraId="0FC0DD58">
      <w:pPr>
        <w:adjustRightInd w:val="0"/>
        <w:snapToGrid w:val="0"/>
        <w:spacing w:line="440" w:lineRule="exact"/>
        <w:ind w:firstLine="0" w:firstLineChars="0"/>
        <w:rPr>
          <w:rFonts w:ascii="宋体" w:hAnsi="宋体" w:cs="宋体"/>
          <w:szCs w:val="21"/>
        </w:rPr>
      </w:pPr>
      <w:r>
        <w:rPr>
          <w:rFonts w:hint="eastAsia" w:ascii="宋体" w:hAnsi="宋体" w:cs="宋体"/>
          <w:szCs w:val="21"/>
        </w:rPr>
        <w:t>法定代表人或授权代表（签字或盖章）：            法定代表人或授权代表（签字或盖章） ：</w:t>
      </w:r>
    </w:p>
    <w:p w14:paraId="74A29948">
      <w:pPr>
        <w:adjustRightInd w:val="0"/>
        <w:snapToGrid w:val="0"/>
        <w:spacing w:line="440" w:lineRule="exact"/>
        <w:ind w:firstLine="0" w:firstLineChars="0"/>
        <w:rPr>
          <w:rFonts w:ascii="宋体" w:hAnsi="宋体" w:cs="宋体"/>
          <w:szCs w:val="21"/>
        </w:rPr>
      </w:pPr>
      <w:r>
        <w:rPr>
          <w:rFonts w:hint="eastAsia" w:ascii="宋体" w:hAnsi="宋体" w:cs="宋体"/>
          <w:szCs w:val="21"/>
        </w:rPr>
        <w:t xml:space="preserve">        年    月    日                               年    月    日</w:t>
      </w:r>
    </w:p>
    <w:p w14:paraId="6DF5CAE2">
      <w:pPr>
        <w:spacing w:line="240" w:lineRule="auto"/>
        <w:ind w:firstLine="420"/>
        <w:rPr>
          <w:rFonts w:ascii="宋体" w:hAnsi="宋体" w:cs="宋体"/>
          <w:szCs w:val="21"/>
        </w:rPr>
      </w:pPr>
    </w:p>
    <w:p w14:paraId="13F4F8A1">
      <w:pPr>
        <w:spacing w:line="400" w:lineRule="exact"/>
        <w:ind w:firstLine="0" w:firstLineChars="0"/>
        <w:jc w:val="center"/>
        <w:rPr>
          <w:rFonts w:ascii="宋体" w:hAnsi="宋体" w:cs="宋体"/>
          <w:szCs w:val="21"/>
        </w:rPr>
      </w:pPr>
      <w:r>
        <w:rPr>
          <w:rFonts w:hint="eastAsia" w:ascii="宋体" w:hAnsi="宋体" w:cs="宋体"/>
          <w:szCs w:val="21"/>
        </w:rPr>
        <w:br w:type="page"/>
      </w:r>
    </w:p>
    <w:p w14:paraId="39ADE9C4">
      <w:pPr>
        <w:spacing w:line="240" w:lineRule="auto"/>
        <w:ind w:firstLine="0" w:firstLineChars="0"/>
        <w:rPr>
          <w:sz w:val="24"/>
        </w:rPr>
      </w:pPr>
      <w:r>
        <w:rPr>
          <w:rFonts w:hint="eastAsia"/>
          <w:sz w:val="24"/>
        </w:rPr>
        <w:t>附件1</w:t>
      </w:r>
    </w:p>
    <w:tbl>
      <w:tblPr>
        <w:tblStyle w:val="44"/>
        <w:tblW w:w="8335" w:type="dxa"/>
        <w:tblInd w:w="0" w:type="dxa"/>
        <w:tblLayout w:type="autofit"/>
        <w:tblCellMar>
          <w:top w:w="0" w:type="dxa"/>
          <w:left w:w="15" w:type="dxa"/>
          <w:bottom w:w="0" w:type="dxa"/>
          <w:right w:w="15" w:type="dxa"/>
        </w:tblCellMar>
      </w:tblPr>
      <w:tblGrid>
        <w:gridCol w:w="1514"/>
        <w:gridCol w:w="1762"/>
        <w:gridCol w:w="949"/>
        <w:gridCol w:w="1387"/>
        <w:gridCol w:w="1349"/>
        <w:gridCol w:w="1374"/>
      </w:tblGrid>
      <w:tr w14:paraId="7EA93546">
        <w:tblPrEx>
          <w:tblCellMar>
            <w:top w:w="0" w:type="dxa"/>
            <w:left w:w="15" w:type="dxa"/>
            <w:bottom w:w="0" w:type="dxa"/>
            <w:right w:w="15" w:type="dxa"/>
          </w:tblCellMar>
        </w:tblPrEx>
        <w:trPr>
          <w:trHeight w:val="783" w:hRule="atLeast"/>
        </w:trPr>
        <w:tc>
          <w:tcPr>
            <w:tcW w:w="8335" w:type="dxa"/>
            <w:gridSpan w:val="6"/>
            <w:tcBorders>
              <w:top w:val="single" w:color="000000" w:sz="4" w:space="0"/>
              <w:left w:val="single" w:color="000000" w:sz="4" w:space="0"/>
              <w:bottom w:val="single" w:color="000000" w:sz="4" w:space="0"/>
              <w:right w:val="single" w:color="000000" w:sz="4" w:space="0"/>
            </w:tcBorders>
            <w:vAlign w:val="center"/>
          </w:tcPr>
          <w:p w14:paraId="4916FA35">
            <w:pPr>
              <w:autoSpaceDN w:val="0"/>
              <w:spacing w:line="240" w:lineRule="auto"/>
              <w:ind w:firstLine="0" w:firstLineChars="0"/>
              <w:jc w:val="center"/>
              <w:textAlignment w:val="center"/>
              <w:rPr>
                <w:rFonts w:ascii="宋体" w:hAnsi="宋体"/>
                <w:b/>
                <w:color w:val="000000"/>
                <w:sz w:val="32"/>
              </w:rPr>
            </w:pPr>
            <w:r>
              <w:rPr>
                <w:rFonts w:ascii="宋体" w:hAnsi="宋体"/>
                <w:b/>
                <w:color w:val="000000"/>
                <w:sz w:val="36"/>
                <w:szCs w:val="36"/>
              </w:rPr>
              <w:t>供货清单</w:t>
            </w:r>
          </w:p>
        </w:tc>
      </w:tr>
      <w:tr w14:paraId="71BC5AEC">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35085972">
            <w:pPr>
              <w:autoSpaceDN w:val="0"/>
              <w:spacing w:line="240" w:lineRule="auto"/>
              <w:ind w:firstLine="0" w:firstLineChars="0"/>
              <w:jc w:val="center"/>
              <w:textAlignment w:val="center"/>
              <w:rPr>
                <w:rFonts w:ascii="宋体" w:hAnsi="宋体"/>
                <w:b/>
                <w:color w:val="000000"/>
                <w:szCs w:val="21"/>
              </w:rPr>
            </w:pPr>
            <w:r>
              <w:rPr>
                <w:rFonts w:ascii="宋体" w:hAnsi="宋体"/>
                <w:b/>
                <w:color w:val="000000"/>
                <w:szCs w:val="21"/>
              </w:rPr>
              <w:t>物资名称</w:t>
            </w:r>
          </w:p>
        </w:tc>
        <w:tc>
          <w:tcPr>
            <w:tcW w:w="1762" w:type="dxa"/>
            <w:tcBorders>
              <w:top w:val="single" w:color="000000" w:sz="4" w:space="0"/>
              <w:left w:val="single" w:color="000000" w:sz="4" w:space="0"/>
              <w:bottom w:val="single" w:color="000000" w:sz="4" w:space="0"/>
              <w:right w:val="single" w:color="000000" w:sz="4" w:space="0"/>
            </w:tcBorders>
            <w:vAlign w:val="center"/>
          </w:tcPr>
          <w:p w14:paraId="03EBF969">
            <w:pPr>
              <w:autoSpaceDN w:val="0"/>
              <w:spacing w:line="240" w:lineRule="auto"/>
              <w:ind w:firstLine="0" w:firstLineChars="0"/>
              <w:jc w:val="center"/>
              <w:textAlignment w:val="center"/>
              <w:rPr>
                <w:rFonts w:ascii="宋体" w:hAnsi="宋体"/>
                <w:b/>
                <w:color w:val="000000"/>
                <w:szCs w:val="21"/>
              </w:rPr>
            </w:pPr>
            <w:r>
              <w:rPr>
                <w:rFonts w:ascii="宋体" w:hAnsi="宋体"/>
                <w:b/>
                <w:color w:val="000000"/>
                <w:szCs w:val="21"/>
              </w:rPr>
              <w:t>规格型号</w:t>
            </w:r>
          </w:p>
        </w:tc>
        <w:tc>
          <w:tcPr>
            <w:tcW w:w="949" w:type="dxa"/>
            <w:tcBorders>
              <w:top w:val="single" w:color="000000" w:sz="4" w:space="0"/>
              <w:left w:val="single" w:color="000000" w:sz="4" w:space="0"/>
              <w:bottom w:val="single" w:color="000000" w:sz="4" w:space="0"/>
              <w:right w:val="single" w:color="000000" w:sz="4" w:space="0"/>
            </w:tcBorders>
            <w:vAlign w:val="center"/>
          </w:tcPr>
          <w:p w14:paraId="7352CC3E">
            <w:pPr>
              <w:autoSpaceDN w:val="0"/>
              <w:spacing w:line="240" w:lineRule="auto"/>
              <w:ind w:firstLine="0" w:firstLineChars="0"/>
              <w:jc w:val="center"/>
              <w:textAlignment w:val="center"/>
              <w:rPr>
                <w:rFonts w:ascii="宋体" w:hAnsi="宋体"/>
                <w:b/>
                <w:color w:val="000000"/>
                <w:szCs w:val="21"/>
              </w:rPr>
            </w:pPr>
            <w:r>
              <w:rPr>
                <w:rFonts w:hint="eastAsia" w:ascii="宋体" w:hAnsi="宋体"/>
                <w:b/>
                <w:color w:val="000000"/>
                <w:szCs w:val="21"/>
              </w:rPr>
              <w:t>品牌</w:t>
            </w:r>
          </w:p>
        </w:tc>
        <w:tc>
          <w:tcPr>
            <w:tcW w:w="1387" w:type="dxa"/>
            <w:tcBorders>
              <w:top w:val="single" w:color="000000" w:sz="4" w:space="0"/>
              <w:left w:val="single" w:color="000000" w:sz="4" w:space="0"/>
              <w:bottom w:val="single" w:color="000000" w:sz="4" w:space="0"/>
              <w:right w:val="single" w:color="000000" w:sz="4" w:space="0"/>
            </w:tcBorders>
            <w:vAlign w:val="center"/>
          </w:tcPr>
          <w:p w14:paraId="6CC71B16">
            <w:pPr>
              <w:autoSpaceDN w:val="0"/>
              <w:spacing w:line="240" w:lineRule="auto"/>
              <w:ind w:firstLine="0" w:firstLineChars="0"/>
              <w:jc w:val="center"/>
              <w:textAlignment w:val="center"/>
              <w:rPr>
                <w:rFonts w:ascii="宋体" w:hAnsi="宋体"/>
                <w:b/>
                <w:color w:val="000000"/>
                <w:szCs w:val="21"/>
              </w:rPr>
            </w:pPr>
            <w:r>
              <w:rPr>
                <w:rFonts w:ascii="宋体" w:hAnsi="宋体"/>
                <w:b/>
                <w:color w:val="000000"/>
                <w:szCs w:val="21"/>
              </w:rPr>
              <w:t>单价</w:t>
            </w:r>
            <w:r>
              <w:rPr>
                <w:rFonts w:hint="eastAsia" w:ascii="宋体" w:hAnsi="宋体"/>
                <w:b/>
                <w:color w:val="000000"/>
                <w:szCs w:val="21"/>
              </w:rPr>
              <w:t>（元/台）</w:t>
            </w:r>
          </w:p>
        </w:tc>
        <w:tc>
          <w:tcPr>
            <w:tcW w:w="1349" w:type="dxa"/>
            <w:tcBorders>
              <w:top w:val="single" w:color="000000" w:sz="4" w:space="0"/>
              <w:left w:val="single" w:color="000000" w:sz="4" w:space="0"/>
              <w:bottom w:val="single" w:color="000000" w:sz="4" w:space="0"/>
              <w:right w:val="single" w:color="000000" w:sz="4" w:space="0"/>
            </w:tcBorders>
            <w:vAlign w:val="center"/>
          </w:tcPr>
          <w:p w14:paraId="58257430">
            <w:pPr>
              <w:autoSpaceDN w:val="0"/>
              <w:spacing w:line="240" w:lineRule="auto"/>
              <w:ind w:firstLine="0" w:firstLineChars="0"/>
              <w:jc w:val="center"/>
              <w:textAlignment w:val="center"/>
              <w:rPr>
                <w:rFonts w:ascii="宋体" w:hAnsi="宋体"/>
                <w:b/>
                <w:color w:val="000000"/>
                <w:szCs w:val="21"/>
              </w:rPr>
            </w:pPr>
            <w:r>
              <w:rPr>
                <w:rFonts w:ascii="宋体" w:hAnsi="宋体"/>
                <w:b/>
                <w:color w:val="000000"/>
                <w:szCs w:val="21"/>
              </w:rPr>
              <w:t>数量</w:t>
            </w:r>
          </w:p>
        </w:tc>
        <w:tc>
          <w:tcPr>
            <w:tcW w:w="1374" w:type="dxa"/>
            <w:tcBorders>
              <w:top w:val="single" w:color="000000" w:sz="4" w:space="0"/>
              <w:left w:val="single" w:color="000000" w:sz="4" w:space="0"/>
              <w:bottom w:val="single" w:color="000000" w:sz="4" w:space="0"/>
              <w:right w:val="single" w:color="000000" w:sz="4" w:space="0"/>
            </w:tcBorders>
            <w:vAlign w:val="center"/>
          </w:tcPr>
          <w:p w14:paraId="5A4BA2B8">
            <w:pPr>
              <w:autoSpaceDN w:val="0"/>
              <w:spacing w:line="240" w:lineRule="auto"/>
              <w:ind w:firstLine="0" w:firstLineChars="0"/>
              <w:jc w:val="center"/>
              <w:textAlignment w:val="center"/>
              <w:rPr>
                <w:rFonts w:ascii="宋体" w:hAnsi="宋体"/>
                <w:b/>
                <w:color w:val="000000"/>
                <w:szCs w:val="21"/>
              </w:rPr>
            </w:pPr>
            <w:r>
              <w:rPr>
                <w:rFonts w:ascii="宋体" w:hAnsi="宋体"/>
                <w:b/>
                <w:color w:val="000000"/>
                <w:szCs w:val="21"/>
              </w:rPr>
              <w:t>合计</w:t>
            </w:r>
            <w:r>
              <w:rPr>
                <w:rFonts w:hint="eastAsia" w:ascii="宋体" w:hAnsi="宋体"/>
                <w:b/>
                <w:color w:val="000000"/>
                <w:szCs w:val="21"/>
              </w:rPr>
              <w:t>（元）</w:t>
            </w:r>
          </w:p>
        </w:tc>
      </w:tr>
      <w:tr w14:paraId="79A78BFE">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33A69341">
            <w:pPr>
              <w:autoSpaceDN w:val="0"/>
              <w:spacing w:line="240" w:lineRule="auto"/>
              <w:ind w:firstLine="0" w:firstLineChars="0"/>
              <w:jc w:val="left"/>
              <w:textAlignment w:val="center"/>
              <w:rPr>
                <w:rFonts w:ascii="宋体" w:hAnsi="宋体"/>
                <w:color w:val="000000"/>
                <w:sz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02FA8BED">
            <w:pPr>
              <w:autoSpaceDN w:val="0"/>
              <w:spacing w:line="240" w:lineRule="auto"/>
              <w:ind w:firstLine="0" w:firstLineChars="0"/>
              <w:jc w:val="left"/>
              <w:textAlignment w:val="center"/>
              <w:rPr>
                <w:rFonts w:ascii="宋体" w:hAnsi="宋体"/>
                <w:color w:val="000000"/>
                <w:sz w:val="20"/>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7AC2B2F8">
            <w:pPr>
              <w:autoSpaceDN w:val="0"/>
              <w:spacing w:line="240" w:lineRule="auto"/>
              <w:ind w:firstLine="0" w:firstLineChars="0"/>
              <w:jc w:val="center"/>
              <w:textAlignment w:val="center"/>
              <w:rPr>
                <w:rFonts w:ascii="宋体" w:hAnsi="宋体"/>
                <w:color w:val="000000"/>
                <w:sz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0809E828">
            <w:pPr>
              <w:autoSpaceDN w:val="0"/>
              <w:spacing w:line="240" w:lineRule="auto"/>
              <w:ind w:firstLine="0" w:firstLineChars="0"/>
              <w:jc w:val="center"/>
              <w:textAlignment w:val="center"/>
              <w:rPr>
                <w:rFonts w:ascii="宋体" w:hAnsi="宋体"/>
                <w:color w:val="000000"/>
                <w:sz w:val="20"/>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E834A5D">
            <w:pPr>
              <w:autoSpaceDN w:val="0"/>
              <w:spacing w:line="240" w:lineRule="auto"/>
              <w:ind w:firstLine="0" w:firstLineChars="0"/>
              <w:jc w:val="center"/>
              <w:textAlignment w:val="center"/>
              <w:rPr>
                <w:rFonts w:ascii="宋体" w:hAnsi="宋体"/>
                <w:b/>
                <w:color w:val="000000"/>
                <w:sz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77B503A">
            <w:pPr>
              <w:autoSpaceDN w:val="0"/>
              <w:spacing w:line="240" w:lineRule="auto"/>
              <w:ind w:firstLine="0" w:firstLineChars="0"/>
              <w:jc w:val="center"/>
              <w:textAlignment w:val="center"/>
              <w:rPr>
                <w:rFonts w:ascii="宋体" w:hAnsi="宋体"/>
                <w:b/>
                <w:color w:val="000000"/>
                <w:sz w:val="20"/>
              </w:rPr>
            </w:pPr>
          </w:p>
        </w:tc>
      </w:tr>
      <w:tr w14:paraId="25367361">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1B8E37B5">
            <w:pPr>
              <w:autoSpaceDN w:val="0"/>
              <w:spacing w:line="240" w:lineRule="auto"/>
              <w:ind w:firstLine="0" w:firstLineChars="0"/>
              <w:jc w:val="left"/>
              <w:textAlignment w:val="center"/>
              <w:rPr>
                <w:rFonts w:ascii="宋体" w:hAnsi="宋体"/>
                <w:color w:val="000000"/>
                <w:sz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F07B133">
            <w:pPr>
              <w:autoSpaceDN w:val="0"/>
              <w:spacing w:line="240" w:lineRule="auto"/>
              <w:ind w:firstLine="0" w:firstLineChars="0"/>
              <w:jc w:val="left"/>
              <w:textAlignment w:val="center"/>
              <w:rPr>
                <w:rFonts w:ascii="宋体" w:hAnsi="宋体"/>
                <w:color w:val="000000"/>
                <w:sz w:val="20"/>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2891E233">
            <w:pPr>
              <w:autoSpaceDN w:val="0"/>
              <w:spacing w:line="240" w:lineRule="auto"/>
              <w:ind w:firstLine="0" w:firstLineChars="0"/>
              <w:jc w:val="center"/>
              <w:textAlignment w:val="center"/>
              <w:rPr>
                <w:rFonts w:ascii="宋体" w:hAnsi="宋体"/>
                <w:color w:val="000000"/>
                <w:sz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045B6D46">
            <w:pPr>
              <w:autoSpaceDN w:val="0"/>
              <w:spacing w:line="240" w:lineRule="auto"/>
              <w:ind w:firstLine="0" w:firstLineChars="0"/>
              <w:jc w:val="center"/>
              <w:textAlignment w:val="center"/>
              <w:rPr>
                <w:rFonts w:ascii="宋体" w:hAnsi="宋体"/>
                <w:color w:val="000000"/>
                <w:sz w:val="20"/>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4F34ECFC">
            <w:pPr>
              <w:autoSpaceDN w:val="0"/>
              <w:spacing w:line="240" w:lineRule="auto"/>
              <w:ind w:firstLine="0" w:firstLineChars="0"/>
              <w:jc w:val="center"/>
              <w:textAlignment w:val="center"/>
              <w:rPr>
                <w:rFonts w:ascii="宋体" w:hAnsi="宋体"/>
                <w:b/>
                <w:color w:val="000000"/>
                <w:sz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777C5D57">
            <w:pPr>
              <w:autoSpaceDN w:val="0"/>
              <w:spacing w:line="240" w:lineRule="auto"/>
              <w:ind w:firstLine="0" w:firstLineChars="0"/>
              <w:jc w:val="center"/>
              <w:textAlignment w:val="center"/>
              <w:rPr>
                <w:rFonts w:ascii="宋体" w:hAnsi="宋体"/>
                <w:b/>
                <w:color w:val="000000"/>
                <w:sz w:val="20"/>
              </w:rPr>
            </w:pPr>
          </w:p>
        </w:tc>
      </w:tr>
      <w:tr w14:paraId="1937BBEC">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40E2DFFE">
            <w:pPr>
              <w:autoSpaceDN w:val="0"/>
              <w:spacing w:line="240" w:lineRule="auto"/>
              <w:ind w:firstLine="0" w:firstLineChars="0"/>
              <w:jc w:val="left"/>
              <w:textAlignment w:val="center"/>
              <w:rPr>
                <w:rFonts w:ascii="宋体" w:hAnsi="宋体"/>
                <w:color w:val="000000"/>
                <w:sz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598026E8">
            <w:pPr>
              <w:autoSpaceDN w:val="0"/>
              <w:spacing w:line="240" w:lineRule="auto"/>
              <w:ind w:firstLine="0" w:firstLineChars="0"/>
              <w:jc w:val="left"/>
              <w:textAlignment w:val="center"/>
              <w:rPr>
                <w:rFonts w:ascii="宋体" w:hAnsi="宋体"/>
                <w:color w:val="000000"/>
                <w:sz w:val="20"/>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39042D52">
            <w:pPr>
              <w:autoSpaceDN w:val="0"/>
              <w:spacing w:line="240" w:lineRule="auto"/>
              <w:ind w:firstLine="0" w:firstLineChars="0"/>
              <w:jc w:val="center"/>
              <w:textAlignment w:val="center"/>
              <w:rPr>
                <w:rFonts w:ascii="宋体" w:hAnsi="宋体"/>
                <w:color w:val="000000"/>
                <w:sz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19C3597B">
            <w:pPr>
              <w:autoSpaceDN w:val="0"/>
              <w:spacing w:line="240" w:lineRule="auto"/>
              <w:ind w:firstLine="0" w:firstLineChars="0"/>
              <w:jc w:val="center"/>
              <w:textAlignment w:val="center"/>
              <w:rPr>
                <w:rFonts w:ascii="宋体" w:hAnsi="宋体"/>
                <w:color w:val="000000"/>
                <w:sz w:val="20"/>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06C95F5">
            <w:pPr>
              <w:autoSpaceDN w:val="0"/>
              <w:spacing w:line="240" w:lineRule="auto"/>
              <w:ind w:firstLine="0" w:firstLineChars="0"/>
              <w:jc w:val="center"/>
              <w:textAlignment w:val="center"/>
              <w:rPr>
                <w:rFonts w:ascii="宋体" w:hAnsi="宋体"/>
                <w:b/>
                <w:color w:val="000000"/>
                <w:sz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5F24C236">
            <w:pPr>
              <w:autoSpaceDN w:val="0"/>
              <w:spacing w:line="240" w:lineRule="auto"/>
              <w:ind w:firstLine="0" w:firstLineChars="0"/>
              <w:jc w:val="center"/>
              <w:textAlignment w:val="center"/>
              <w:rPr>
                <w:rFonts w:ascii="宋体" w:hAnsi="宋体"/>
                <w:b/>
                <w:color w:val="000000"/>
                <w:sz w:val="20"/>
              </w:rPr>
            </w:pPr>
          </w:p>
        </w:tc>
      </w:tr>
      <w:tr w14:paraId="550EE869">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3A883378">
            <w:pPr>
              <w:autoSpaceDN w:val="0"/>
              <w:spacing w:line="240" w:lineRule="auto"/>
              <w:ind w:firstLine="0" w:firstLineChars="0"/>
              <w:jc w:val="left"/>
              <w:textAlignment w:val="center"/>
              <w:rPr>
                <w:rFonts w:ascii="宋体" w:hAnsi="宋体"/>
                <w:color w:val="000000"/>
                <w:sz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688719C9">
            <w:pPr>
              <w:autoSpaceDN w:val="0"/>
              <w:spacing w:line="240" w:lineRule="auto"/>
              <w:ind w:firstLine="0" w:firstLineChars="0"/>
              <w:jc w:val="left"/>
              <w:textAlignment w:val="center"/>
              <w:rPr>
                <w:rFonts w:ascii="宋体" w:hAnsi="宋体"/>
                <w:color w:val="000000"/>
                <w:sz w:val="20"/>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77633B40">
            <w:pPr>
              <w:autoSpaceDN w:val="0"/>
              <w:spacing w:line="240" w:lineRule="auto"/>
              <w:ind w:firstLine="0" w:firstLineChars="0"/>
              <w:jc w:val="center"/>
              <w:textAlignment w:val="center"/>
              <w:rPr>
                <w:rFonts w:ascii="宋体" w:hAnsi="宋体"/>
                <w:color w:val="000000"/>
                <w:sz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66570D3B">
            <w:pPr>
              <w:autoSpaceDN w:val="0"/>
              <w:spacing w:line="240" w:lineRule="auto"/>
              <w:ind w:firstLine="0" w:firstLineChars="0"/>
              <w:jc w:val="center"/>
              <w:textAlignment w:val="center"/>
              <w:rPr>
                <w:rFonts w:ascii="宋体" w:hAnsi="宋体"/>
                <w:color w:val="000000"/>
                <w:sz w:val="20"/>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276A7726">
            <w:pPr>
              <w:autoSpaceDN w:val="0"/>
              <w:spacing w:line="240" w:lineRule="auto"/>
              <w:ind w:firstLine="0" w:firstLineChars="0"/>
              <w:jc w:val="center"/>
              <w:textAlignment w:val="center"/>
              <w:rPr>
                <w:rFonts w:ascii="宋体" w:hAnsi="宋体"/>
                <w:b/>
                <w:color w:val="000000"/>
                <w:sz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3FE62174">
            <w:pPr>
              <w:autoSpaceDN w:val="0"/>
              <w:spacing w:line="240" w:lineRule="auto"/>
              <w:ind w:firstLine="0" w:firstLineChars="0"/>
              <w:jc w:val="center"/>
              <w:textAlignment w:val="center"/>
              <w:rPr>
                <w:rFonts w:ascii="宋体" w:hAnsi="宋体"/>
                <w:b/>
                <w:color w:val="000000"/>
                <w:sz w:val="20"/>
              </w:rPr>
            </w:pPr>
          </w:p>
        </w:tc>
      </w:tr>
      <w:tr w14:paraId="74A03970">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614BDCE6">
            <w:pPr>
              <w:autoSpaceDN w:val="0"/>
              <w:spacing w:line="240" w:lineRule="auto"/>
              <w:ind w:firstLine="0" w:firstLineChars="0"/>
              <w:jc w:val="left"/>
              <w:textAlignment w:val="center"/>
              <w:rPr>
                <w:rFonts w:ascii="宋体" w:hAnsi="宋体"/>
                <w:color w:val="000000"/>
                <w:sz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59037D2F">
            <w:pPr>
              <w:autoSpaceDN w:val="0"/>
              <w:spacing w:line="240" w:lineRule="auto"/>
              <w:ind w:firstLine="0" w:firstLineChars="0"/>
              <w:jc w:val="left"/>
              <w:textAlignment w:val="center"/>
              <w:rPr>
                <w:rFonts w:ascii="宋体" w:hAnsi="宋体"/>
                <w:color w:val="000000"/>
                <w:sz w:val="20"/>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55CFAC6F">
            <w:pPr>
              <w:autoSpaceDN w:val="0"/>
              <w:spacing w:line="240" w:lineRule="auto"/>
              <w:ind w:firstLine="0" w:firstLineChars="0"/>
              <w:jc w:val="center"/>
              <w:textAlignment w:val="center"/>
              <w:rPr>
                <w:rFonts w:ascii="宋体" w:hAnsi="宋体"/>
                <w:color w:val="000000"/>
                <w:sz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1F166B90">
            <w:pPr>
              <w:autoSpaceDN w:val="0"/>
              <w:spacing w:line="240" w:lineRule="auto"/>
              <w:ind w:firstLine="0" w:firstLineChars="0"/>
              <w:jc w:val="center"/>
              <w:textAlignment w:val="center"/>
              <w:rPr>
                <w:rFonts w:ascii="宋体" w:hAnsi="宋体"/>
                <w:color w:val="000000"/>
                <w:sz w:val="20"/>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01FDE634">
            <w:pPr>
              <w:autoSpaceDN w:val="0"/>
              <w:spacing w:line="240" w:lineRule="auto"/>
              <w:ind w:firstLine="0" w:firstLineChars="0"/>
              <w:jc w:val="center"/>
              <w:textAlignment w:val="center"/>
              <w:rPr>
                <w:rFonts w:ascii="宋体" w:hAnsi="宋体"/>
                <w:b/>
                <w:color w:val="000000"/>
                <w:sz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460A6351">
            <w:pPr>
              <w:autoSpaceDN w:val="0"/>
              <w:spacing w:line="240" w:lineRule="auto"/>
              <w:ind w:firstLine="0" w:firstLineChars="0"/>
              <w:jc w:val="center"/>
              <w:textAlignment w:val="center"/>
              <w:rPr>
                <w:rFonts w:ascii="宋体" w:hAnsi="宋体"/>
                <w:b/>
                <w:color w:val="000000"/>
                <w:sz w:val="20"/>
              </w:rPr>
            </w:pPr>
          </w:p>
        </w:tc>
      </w:tr>
      <w:tr w14:paraId="55F028A2">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2AB51DB0">
            <w:pPr>
              <w:autoSpaceDN w:val="0"/>
              <w:spacing w:line="240" w:lineRule="auto"/>
              <w:ind w:firstLine="0" w:firstLineChars="0"/>
              <w:jc w:val="left"/>
              <w:textAlignment w:val="center"/>
              <w:rPr>
                <w:rFonts w:ascii="宋体" w:hAnsi="宋体"/>
                <w:color w:val="000000"/>
                <w:sz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66377F44">
            <w:pPr>
              <w:autoSpaceDN w:val="0"/>
              <w:spacing w:line="240" w:lineRule="auto"/>
              <w:ind w:firstLine="0" w:firstLineChars="0"/>
              <w:jc w:val="left"/>
              <w:textAlignment w:val="center"/>
              <w:rPr>
                <w:rFonts w:ascii="宋体" w:hAnsi="宋体"/>
                <w:color w:val="000000"/>
                <w:sz w:val="20"/>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2B5CBD79">
            <w:pPr>
              <w:autoSpaceDN w:val="0"/>
              <w:spacing w:line="240" w:lineRule="auto"/>
              <w:ind w:firstLine="0" w:firstLineChars="0"/>
              <w:jc w:val="center"/>
              <w:textAlignment w:val="center"/>
              <w:rPr>
                <w:rFonts w:ascii="宋体" w:hAnsi="宋体"/>
                <w:color w:val="000000"/>
                <w:sz w:val="20"/>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660E3F15">
            <w:pPr>
              <w:autoSpaceDN w:val="0"/>
              <w:spacing w:line="240" w:lineRule="auto"/>
              <w:ind w:firstLine="0" w:firstLineChars="0"/>
              <w:jc w:val="center"/>
              <w:textAlignment w:val="center"/>
              <w:rPr>
                <w:rFonts w:ascii="宋体" w:hAnsi="宋体"/>
                <w:color w:val="000000"/>
                <w:sz w:val="20"/>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7834DCAB">
            <w:pPr>
              <w:autoSpaceDN w:val="0"/>
              <w:spacing w:line="240" w:lineRule="auto"/>
              <w:ind w:firstLine="0" w:firstLineChars="0"/>
              <w:jc w:val="center"/>
              <w:textAlignment w:val="center"/>
              <w:rPr>
                <w:rFonts w:ascii="宋体" w:hAnsi="宋体"/>
                <w:b/>
                <w:color w:val="000000"/>
                <w:sz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6FECE89">
            <w:pPr>
              <w:autoSpaceDN w:val="0"/>
              <w:spacing w:line="240" w:lineRule="auto"/>
              <w:ind w:firstLine="0" w:firstLineChars="0"/>
              <w:jc w:val="center"/>
              <w:textAlignment w:val="center"/>
              <w:rPr>
                <w:rFonts w:ascii="宋体" w:hAnsi="宋体"/>
                <w:b/>
                <w:color w:val="000000"/>
                <w:sz w:val="20"/>
              </w:rPr>
            </w:pPr>
          </w:p>
        </w:tc>
      </w:tr>
      <w:tr w14:paraId="08B1DEF4">
        <w:tblPrEx>
          <w:tblCellMar>
            <w:top w:w="0" w:type="dxa"/>
            <w:left w:w="15" w:type="dxa"/>
            <w:bottom w:w="0" w:type="dxa"/>
            <w:right w:w="15" w:type="dxa"/>
          </w:tblCellMar>
        </w:tblPrEx>
        <w:trPr>
          <w:trHeight w:val="675"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129961E2">
            <w:pPr>
              <w:autoSpaceDN w:val="0"/>
              <w:spacing w:line="240" w:lineRule="auto"/>
              <w:ind w:firstLine="0" w:firstLineChars="0"/>
              <w:jc w:val="center"/>
              <w:textAlignment w:val="center"/>
              <w:rPr>
                <w:rFonts w:ascii="宋体" w:hAnsi="宋体"/>
                <w:b/>
                <w:color w:val="000000"/>
                <w:szCs w:val="21"/>
              </w:rPr>
            </w:pPr>
            <w:r>
              <w:rPr>
                <w:rFonts w:ascii="宋体" w:hAnsi="宋体"/>
                <w:b/>
                <w:color w:val="000000"/>
                <w:szCs w:val="21"/>
              </w:rPr>
              <w:t>总金额（大写）</w:t>
            </w:r>
          </w:p>
        </w:tc>
        <w:tc>
          <w:tcPr>
            <w:tcW w:w="2711" w:type="dxa"/>
            <w:gridSpan w:val="2"/>
            <w:tcBorders>
              <w:top w:val="single" w:color="000000" w:sz="4" w:space="0"/>
              <w:left w:val="single" w:color="000000" w:sz="4" w:space="0"/>
              <w:bottom w:val="single" w:color="000000" w:sz="4" w:space="0"/>
              <w:right w:val="single" w:color="000000" w:sz="4" w:space="0"/>
            </w:tcBorders>
            <w:vAlign w:val="center"/>
          </w:tcPr>
          <w:p w14:paraId="1B92493A">
            <w:pPr>
              <w:autoSpaceDN w:val="0"/>
              <w:spacing w:line="240" w:lineRule="auto"/>
              <w:ind w:firstLine="0" w:firstLineChars="0"/>
              <w:jc w:val="center"/>
              <w:textAlignment w:val="center"/>
              <w:rPr>
                <w:rFonts w:ascii="宋体" w:hAnsi="宋体"/>
                <w:b/>
                <w:color w:val="000000"/>
                <w:szCs w:val="21"/>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3F7317F1">
            <w:pPr>
              <w:autoSpaceDN w:val="0"/>
              <w:spacing w:line="240" w:lineRule="auto"/>
              <w:ind w:firstLine="0" w:firstLineChars="0"/>
              <w:jc w:val="center"/>
              <w:textAlignment w:val="center"/>
              <w:rPr>
                <w:rFonts w:ascii="宋体" w:hAnsi="宋体"/>
                <w:b/>
                <w:color w:val="000000"/>
                <w:szCs w:val="21"/>
              </w:rPr>
            </w:pPr>
            <w:r>
              <w:rPr>
                <w:rFonts w:ascii="宋体" w:hAnsi="宋体"/>
                <w:b/>
                <w:color w:val="000000"/>
                <w:szCs w:val="21"/>
              </w:rPr>
              <w:t>总金额（小写）</w:t>
            </w:r>
          </w:p>
        </w:tc>
        <w:tc>
          <w:tcPr>
            <w:tcW w:w="1349" w:type="dxa"/>
            <w:tcBorders>
              <w:top w:val="single" w:color="000000" w:sz="4" w:space="0"/>
              <w:left w:val="single" w:color="000000" w:sz="4" w:space="0"/>
              <w:bottom w:val="single" w:color="000000" w:sz="4" w:space="0"/>
              <w:right w:val="single" w:color="000000" w:sz="4" w:space="0"/>
            </w:tcBorders>
            <w:vAlign w:val="center"/>
          </w:tcPr>
          <w:p w14:paraId="24DBBFDB">
            <w:pPr>
              <w:autoSpaceDN w:val="0"/>
              <w:spacing w:line="240" w:lineRule="auto"/>
              <w:ind w:firstLine="0" w:firstLineChars="0"/>
              <w:jc w:val="center"/>
              <w:textAlignment w:val="center"/>
              <w:rPr>
                <w:rFonts w:ascii="宋体" w:hAnsi="宋体"/>
                <w:b/>
                <w:color w:val="000000"/>
                <w:sz w:val="20"/>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F2E3BE4">
            <w:pPr>
              <w:autoSpaceDN w:val="0"/>
              <w:spacing w:line="240" w:lineRule="auto"/>
              <w:ind w:firstLine="0" w:firstLineChars="0"/>
              <w:jc w:val="center"/>
              <w:textAlignment w:val="center"/>
              <w:rPr>
                <w:rFonts w:ascii="宋体" w:hAnsi="宋体"/>
                <w:b/>
                <w:color w:val="000000"/>
                <w:sz w:val="20"/>
              </w:rPr>
            </w:pPr>
          </w:p>
        </w:tc>
      </w:tr>
      <w:tr w14:paraId="1B1C54DE">
        <w:tblPrEx>
          <w:tblCellMar>
            <w:top w:w="0" w:type="dxa"/>
            <w:left w:w="15" w:type="dxa"/>
            <w:bottom w:w="0" w:type="dxa"/>
            <w:right w:w="15" w:type="dxa"/>
          </w:tblCellMar>
        </w:tblPrEx>
        <w:trPr>
          <w:trHeight w:val="1898"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40B9A8F3">
            <w:pPr>
              <w:autoSpaceDN w:val="0"/>
              <w:spacing w:line="240" w:lineRule="auto"/>
              <w:ind w:firstLine="0" w:firstLineChars="0"/>
              <w:jc w:val="center"/>
              <w:textAlignment w:val="center"/>
              <w:rPr>
                <w:rFonts w:ascii="宋体" w:hAnsi="宋体"/>
                <w:color w:val="000000"/>
                <w:szCs w:val="21"/>
              </w:rPr>
            </w:pPr>
            <w:r>
              <w:rPr>
                <w:rFonts w:hint="eastAsia" w:ascii="宋体" w:hAnsi="宋体"/>
                <w:color w:val="000000"/>
                <w:szCs w:val="21"/>
              </w:rPr>
              <w:t>甲方（</w:t>
            </w:r>
            <w:r>
              <w:rPr>
                <w:rFonts w:ascii="宋体" w:hAnsi="宋体"/>
                <w:color w:val="000000"/>
                <w:szCs w:val="21"/>
              </w:rPr>
              <w:t>盖章</w:t>
            </w:r>
            <w:r>
              <w:rPr>
                <w:rFonts w:hint="eastAsia" w:ascii="宋体" w:hAnsi="宋体"/>
                <w:color w:val="000000"/>
                <w:szCs w:val="21"/>
              </w:rPr>
              <w:t>）</w:t>
            </w:r>
          </w:p>
        </w:tc>
        <w:tc>
          <w:tcPr>
            <w:tcW w:w="2711" w:type="dxa"/>
            <w:gridSpan w:val="2"/>
            <w:tcBorders>
              <w:top w:val="single" w:color="000000" w:sz="4" w:space="0"/>
              <w:left w:val="single" w:color="000000" w:sz="4" w:space="0"/>
              <w:bottom w:val="single" w:color="000000" w:sz="4" w:space="0"/>
              <w:right w:val="single" w:color="000000" w:sz="4" w:space="0"/>
            </w:tcBorders>
            <w:vAlign w:val="center"/>
          </w:tcPr>
          <w:p w14:paraId="0DA3CFFD">
            <w:pPr>
              <w:autoSpaceDN w:val="0"/>
              <w:spacing w:line="240" w:lineRule="auto"/>
              <w:ind w:firstLine="0" w:firstLineChars="0"/>
              <w:jc w:val="center"/>
              <w:textAlignment w:val="center"/>
              <w:rPr>
                <w:rFonts w:ascii="宋体" w:hAnsi="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3238D0A3">
            <w:pPr>
              <w:autoSpaceDN w:val="0"/>
              <w:spacing w:line="240" w:lineRule="auto"/>
              <w:ind w:firstLine="0" w:firstLineChars="0"/>
              <w:jc w:val="center"/>
              <w:textAlignment w:val="center"/>
              <w:rPr>
                <w:rFonts w:ascii="宋体" w:hAnsi="宋体"/>
                <w:color w:val="000000"/>
                <w:szCs w:val="21"/>
              </w:rPr>
            </w:pPr>
            <w:r>
              <w:rPr>
                <w:rFonts w:hint="eastAsia" w:ascii="宋体" w:hAnsi="宋体"/>
                <w:color w:val="000000"/>
                <w:szCs w:val="21"/>
              </w:rPr>
              <w:t>乙方（</w:t>
            </w:r>
            <w:r>
              <w:rPr>
                <w:rFonts w:ascii="宋体" w:hAnsi="宋体"/>
                <w:color w:val="000000"/>
                <w:szCs w:val="21"/>
              </w:rPr>
              <w:t>盖章</w:t>
            </w:r>
            <w:r>
              <w:rPr>
                <w:rFonts w:hint="eastAsia" w:ascii="宋体" w:hAnsi="宋体"/>
                <w:color w:val="000000"/>
                <w:szCs w:val="21"/>
              </w:rPr>
              <w:t>）</w:t>
            </w:r>
          </w:p>
        </w:tc>
        <w:tc>
          <w:tcPr>
            <w:tcW w:w="2723" w:type="dxa"/>
            <w:gridSpan w:val="2"/>
            <w:tcBorders>
              <w:top w:val="single" w:color="000000" w:sz="4" w:space="0"/>
              <w:left w:val="single" w:color="000000" w:sz="4" w:space="0"/>
              <w:bottom w:val="single" w:color="000000" w:sz="4" w:space="0"/>
              <w:right w:val="single" w:color="000000" w:sz="4" w:space="0"/>
            </w:tcBorders>
            <w:vAlign w:val="center"/>
          </w:tcPr>
          <w:p w14:paraId="1840C6F5">
            <w:pPr>
              <w:autoSpaceDN w:val="0"/>
              <w:spacing w:line="240" w:lineRule="auto"/>
              <w:ind w:firstLine="0" w:firstLineChars="0"/>
              <w:jc w:val="left"/>
              <w:textAlignment w:val="center"/>
              <w:rPr>
                <w:rFonts w:ascii="宋体" w:hAnsi="宋体"/>
                <w:color w:val="000000"/>
                <w:sz w:val="24"/>
              </w:rPr>
            </w:pPr>
          </w:p>
        </w:tc>
      </w:tr>
      <w:tr w14:paraId="087C25EB">
        <w:tblPrEx>
          <w:tblCellMar>
            <w:top w:w="0" w:type="dxa"/>
            <w:left w:w="15" w:type="dxa"/>
            <w:bottom w:w="0" w:type="dxa"/>
            <w:right w:w="15" w:type="dxa"/>
          </w:tblCellMar>
        </w:tblPrEx>
        <w:trPr>
          <w:trHeight w:val="587"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40927D07">
            <w:pPr>
              <w:autoSpaceDN w:val="0"/>
              <w:spacing w:line="240" w:lineRule="auto"/>
              <w:ind w:firstLine="0" w:firstLineChars="0"/>
              <w:jc w:val="center"/>
              <w:textAlignment w:val="center"/>
              <w:rPr>
                <w:rFonts w:ascii="宋体" w:hAnsi="宋体"/>
                <w:color w:val="000000"/>
                <w:szCs w:val="21"/>
              </w:rPr>
            </w:pPr>
            <w:r>
              <w:rPr>
                <w:rFonts w:ascii="宋体" w:hAnsi="宋体"/>
                <w:color w:val="000000"/>
                <w:szCs w:val="21"/>
              </w:rPr>
              <w:t>联系人</w:t>
            </w:r>
          </w:p>
        </w:tc>
        <w:tc>
          <w:tcPr>
            <w:tcW w:w="2711" w:type="dxa"/>
            <w:gridSpan w:val="2"/>
            <w:tcBorders>
              <w:top w:val="single" w:color="000000" w:sz="4" w:space="0"/>
              <w:left w:val="single" w:color="000000" w:sz="4" w:space="0"/>
              <w:bottom w:val="single" w:color="000000" w:sz="4" w:space="0"/>
              <w:right w:val="single" w:color="000000" w:sz="4" w:space="0"/>
            </w:tcBorders>
            <w:vAlign w:val="center"/>
          </w:tcPr>
          <w:p w14:paraId="467303F5">
            <w:pPr>
              <w:autoSpaceDN w:val="0"/>
              <w:spacing w:line="240" w:lineRule="auto"/>
              <w:ind w:firstLine="0" w:firstLineChars="0"/>
              <w:jc w:val="center"/>
              <w:textAlignment w:val="center"/>
              <w:rPr>
                <w:rFonts w:ascii="宋体" w:hAnsi="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2F9DC3DC">
            <w:pPr>
              <w:autoSpaceDN w:val="0"/>
              <w:spacing w:line="240" w:lineRule="auto"/>
              <w:ind w:firstLine="0" w:firstLineChars="0"/>
              <w:jc w:val="center"/>
              <w:textAlignment w:val="center"/>
              <w:rPr>
                <w:rFonts w:ascii="宋体" w:hAnsi="宋体"/>
                <w:color w:val="000000"/>
                <w:szCs w:val="21"/>
              </w:rPr>
            </w:pPr>
            <w:r>
              <w:rPr>
                <w:rFonts w:ascii="宋体" w:hAnsi="宋体"/>
                <w:color w:val="000000"/>
                <w:szCs w:val="21"/>
              </w:rPr>
              <w:t>联系人</w:t>
            </w:r>
          </w:p>
        </w:tc>
        <w:tc>
          <w:tcPr>
            <w:tcW w:w="2723" w:type="dxa"/>
            <w:gridSpan w:val="2"/>
            <w:tcBorders>
              <w:top w:val="single" w:color="000000" w:sz="4" w:space="0"/>
              <w:left w:val="single" w:color="000000" w:sz="4" w:space="0"/>
              <w:bottom w:val="single" w:color="000000" w:sz="4" w:space="0"/>
              <w:right w:val="single" w:color="000000" w:sz="4" w:space="0"/>
            </w:tcBorders>
            <w:vAlign w:val="center"/>
          </w:tcPr>
          <w:p w14:paraId="2CD63FCB">
            <w:pPr>
              <w:autoSpaceDN w:val="0"/>
              <w:spacing w:line="240" w:lineRule="auto"/>
              <w:ind w:firstLine="0" w:firstLineChars="0"/>
              <w:jc w:val="left"/>
              <w:textAlignment w:val="center"/>
              <w:rPr>
                <w:rFonts w:ascii="宋体" w:hAnsi="宋体"/>
                <w:color w:val="000000"/>
                <w:sz w:val="24"/>
              </w:rPr>
            </w:pPr>
          </w:p>
        </w:tc>
      </w:tr>
      <w:tr w14:paraId="784066C6">
        <w:tblPrEx>
          <w:tblCellMar>
            <w:top w:w="0" w:type="dxa"/>
            <w:left w:w="15" w:type="dxa"/>
            <w:bottom w:w="0" w:type="dxa"/>
            <w:right w:w="15" w:type="dxa"/>
          </w:tblCellMar>
        </w:tblPrEx>
        <w:trPr>
          <w:trHeight w:val="627" w:hRule="atLeast"/>
        </w:trPr>
        <w:tc>
          <w:tcPr>
            <w:tcW w:w="1514" w:type="dxa"/>
            <w:tcBorders>
              <w:top w:val="single" w:color="000000" w:sz="4" w:space="0"/>
              <w:left w:val="single" w:color="000000" w:sz="4" w:space="0"/>
              <w:bottom w:val="single" w:color="000000" w:sz="4" w:space="0"/>
              <w:right w:val="single" w:color="000000" w:sz="4" w:space="0"/>
            </w:tcBorders>
            <w:vAlign w:val="center"/>
          </w:tcPr>
          <w:p w14:paraId="7F5F16D8">
            <w:pPr>
              <w:autoSpaceDN w:val="0"/>
              <w:spacing w:line="240" w:lineRule="auto"/>
              <w:ind w:firstLine="0" w:firstLineChars="0"/>
              <w:jc w:val="center"/>
              <w:textAlignment w:val="center"/>
              <w:rPr>
                <w:rFonts w:ascii="宋体" w:hAnsi="宋体"/>
                <w:color w:val="000000"/>
                <w:szCs w:val="21"/>
              </w:rPr>
            </w:pPr>
            <w:r>
              <w:rPr>
                <w:rFonts w:ascii="宋体" w:hAnsi="宋体"/>
                <w:color w:val="000000"/>
                <w:szCs w:val="21"/>
              </w:rPr>
              <w:t>日期</w:t>
            </w:r>
          </w:p>
        </w:tc>
        <w:tc>
          <w:tcPr>
            <w:tcW w:w="2711" w:type="dxa"/>
            <w:gridSpan w:val="2"/>
            <w:tcBorders>
              <w:top w:val="single" w:color="000000" w:sz="4" w:space="0"/>
              <w:left w:val="single" w:color="000000" w:sz="4" w:space="0"/>
              <w:bottom w:val="single" w:color="000000" w:sz="4" w:space="0"/>
              <w:right w:val="single" w:color="000000" w:sz="4" w:space="0"/>
            </w:tcBorders>
            <w:vAlign w:val="center"/>
          </w:tcPr>
          <w:p w14:paraId="7BD6EFB5">
            <w:pPr>
              <w:autoSpaceDN w:val="0"/>
              <w:spacing w:line="240" w:lineRule="auto"/>
              <w:ind w:firstLine="0" w:firstLineChars="0"/>
              <w:jc w:val="center"/>
              <w:textAlignment w:val="center"/>
              <w:rPr>
                <w:rFonts w:ascii="宋体" w:hAnsi="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2F7E15B5">
            <w:pPr>
              <w:autoSpaceDN w:val="0"/>
              <w:spacing w:line="240" w:lineRule="auto"/>
              <w:ind w:firstLine="0" w:firstLineChars="0"/>
              <w:jc w:val="center"/>
              <w:textAlignment w:val="center"/>
              <w:rPr>
                <w:rFonts w:ascii="宋体" w:hAnsi="宋体"/>
                <w:color w:val="000000"/>
                <w:szCs w:val="21"/>
              </w:rPr>
            </w:pPr>
            <w:r>
              <w:rPr>
                <w:rFonts w:ascii="宋体" w:hAnsi="宋体"/>
                <w:color w:val="000000"/>
                <w:szCs w:val="21"/>
              </w:rPr>
              <w:t>日期</w:t>
            </w:r>
          </w:p>
        </w:tc>
        <w:tc>
          <w:tcPr>
            <w:tcW w:w="2723" w:type="dxa"/>
            <w:gridSpan w:val="2"/>
            <w:tcBorders>
              <w:top w:val="single" w:color="000000" w:sz="4" w:space="0"/>
              <w:left w:val="single" w:color="000000" w:sz="4" w:space="0"/>
              <w:bottom w:val="single" w:color="000000" w:sz="4" w:space="0"/>
              <w:right w:val="single" w:color="000000" w:sz="4" w:space="0"/>
            </w:tcBorders>
            <w:vAlign w:val="center"/>
          </w:tcPr>
          <w:p w14:paraId="50672778">
            <w:pPr>
              <w:autoSpaceDN w:val="0"/>
              <w:spacing w:line="240" w:lineRule="auto"/>
              <w:ind w:firstLine="0" w:firstLineChars="0"/>
              <w:jc w:val="left"/>
              <w:textAlignment w:val="center"/>
              <w:rPr>
                <w:rFonts w:ascii="宋体" w:hAnsi="宋体"/>
                <w:color w:val="000000"/>
                <w:sz w:val="24"/>
              </w:rPr>
            </w:pPr>
          </w:p>
        </w:tc>
      </w:tr>
    </w:tbl>
    <w:p w14:paraId="4EDE6421">
      <w:pPr>
        <w:spacing w:line="240" w:lineRule="auto"/>
        <w:ind w:firstLine="420"/>
        <w:rPr>
          <w:rFonts w:ascii="宋体" w:hAnsi="宋体" w:cs="宋体"/>
          <w:szCs w:val="21"/>
        </w:rPr>
      </w:pPr>
    </w:p>
    <w:p w14:paraId="4ACDC49F">
      <w:pPr>
        <w:spacing w:line="440" w:lineRule="exact"/>
        <w:ind w:firstLine="440"/>
        <w:rPr>
          <w:rFonts w:ascii="宋体" w:hAnsi="宋体" w:cs="宋体"/>
          <w:sz w:val="22"/>
          <w:szCs w:val="22"/>
        </w:rPr>
      </w:pPr>
    </w:p>
    <w:p w14:paraId="62E84771">
      <w:pPr>
        <w:spacing w:line="276" w:lineRule="auto"/>
        <w:ind w:firstLine="0" w:firstLineChars="0"/>
      </w:pPr>
      <w:r>
        <w:rPr>
          <w:rFonts w:hint="eastAsia" w:ascii="黑体" w:hAnsi="宋体" w:eastAsia="黑体" w:cs="宋体"/>
          <w:sz w:val="22"/>
          <w:szCs w:val="22"/>
        </w:rPr>
        <w:br w:type="page"/>
      </w:r>
      <w:r>
        <w:rPr>
          <w:rFonts w:hint="eastAsia" w:ascii="宋体" w:hAnsi="宋体" w:cs="宋体"/>
          <w:bCs/>
          <w:sz w:val="24"/>
        </w:rPr>
        <w:t>附件2</w:t>
      </w:r>
    </w:p>
    <w:p w14:paraId="07BF7728">
      <w:pPr>
        <w:spacing w:line="640" w:lineRule="exact"/>
        <w:ind w:firstLine="0" w:firstLineChars="0"/>
        <w:jc w:val="center"/>
        <w:rPr>
          <w:rFonts w:ascii="宋体" w:hAnsi="宋体" w:cs="宋体"/>
          <w:sz w:val="36"/>
          <w:szCs w:val="36"/>
        </w:rPr>
      </w:pPr>
      <w:r>
        <w:rPr>
          <w:rFonts w:hint="eastAsia" w:ascii="宋体" w:hAnsi="宋体" w:cs="宋体"/>
          <w:sz w:val="36"/>
          <w:szCs w:val="36"/>
        </w:rPr>
        <w:t>合作伙伴合规承诺书</w:t>
      </w:r>
    </w:p>
    <w:p w14:paraId="5CF5D4C6">
      <w:pPr>
        <w:spacing w:line="312" w:lineRule="auto"/>
        <w:ind w:firstLine="420"/>
        <w:rPr>
          <w:rFonts w:ascii="宋体" w:hAnsi="宋体" w:cs="宋体"/>
          <w:szCs w:val="21"/>
        </w:rPr>
      </w:pPr>
      <w:r>
        <w:rPr>
          <w:rFonts w:hint="eastAsia" w:ascii="宋体" w:hAnsi="宋体" w:cs="宋体"/>
          <w:szCs w:val="21"/>
        </w:rPr>
        <w:t>为满足温州金洋集装箱码头有限公司合规管理要求，规范本公司市场交易行为，促进公平、公正交易，本公司特作出以下承诺：</w:t>
      </w:r>
    </w:p>
    <w:p w14:paraId="40CD680C">
      <w:pPr>
        <w:spacing w:line="312" w:lineRule="auto"/>
        <w:ind w:firstLine="420"/>
        <w:rPr>
          <w:rFonts w:ascii="宋体" w:hAnsi="宋体" w:cs="宋体"/>
          <w:szCs w:val="21"/>
        </w:rPr>
      </w:pPr>
      <w:r>
        <w:rPr>
          <w:rFonts w:hint="eastAsia" w:ascii="宋体" w:hAnsi="宋体" w:cs="宋体"/>
          <w:szCs w:val="21"/>
        </w:rPr>
        <w:t>1.本公司理解温州金洋集装箱码头有限公司合规管理需求，在合作范围内遵守温州金洋集装箱码头有限公司对第三方的合规管理要求。</w:t>
      </w:r>
    </w:p>
    <w:p w14:paraId="24922D11">
      <w:pPr>
        <w:spacing w:line="312" w:lineRule="auto"/>
        <w:ind w:firstLine="420"/>
        <w:rPr>
          <w:rFonts w:ascii="宋体" w:hAnsi="宋体" w:cs="宋体"/>
          <w:szCs w:val="21"/>
        </w:rPr>
      </w:pPr>
      <w:r>
        <w:rPr>
          <w:rFonts w:hint="eastAsia" w:ascii="宋体" w:hAnsi="宋体" w:cs="宋体"/>
          <w:szCs w:val="21"/>
        </w:rPr>
        <w:t>2.本公司具有合同订立的主体资格，具有良好的资信和履约能力，能够有效履行合同义务。</w:t>
      </w:r>
    </w:p>
    <w:p w14:paraId="662C32E2">
      <w:pPr>
        <w:spacing w:line="312" w:lineRule="auto"/>
        <w:ind w:firstLine="420"/>
        <w:rPr>
          <w:rFonts w:ascii="宋体" w:hAnsi="宋体" w:cs="宋体"/>
          <w:szCs w:val="21"/>
        </w:rPr>
      </w:pPr>
      <w:r>
        <w:rPr>
          <w:rFonts w:hint="eastAsia" w:ascii="宋体" w:hAnsi="宋体" w:cs="宋体"/>
          <w:szCs w:val="21"/>
        </w:rPr>
        <w:t>3.本公司严格遵守国家法律法规，恪守商业道德和职业道德规范，不从事并抵制任何不廉洁行为，严格履行以下合规义务：</w:t>
      </w:r>
    </w:p>
    <w:p w14:paraId="6AB5D53D">
      <w:pPr>
        <w:spacing w:line="312" w:lineRule="auto"/>
        <w:ind w:firstLine="420"/>
        <w:rPr>
          <w:rFonts w:ascii="宋体" w:hAnsi="宋体" w:cs="宋体"/>
          <w:szCs w:val="21"/>
        </w:rPr>
      </w:pPr>
      <w:r>
        <w:rPr>
          <w:rFonts w:hint="eastAsia" w:ascii="宋体" w:hAnsi="宋体" w:cs="宋体"/>
          <w:szCs w:val="21"/>
        </w:rPr>
        <w:t>（一）本公司员工严格遵守《中华人民共和国反不正当竞争法》等有关商业贿赂行为的禁止性规定，坚决抵制商业贿赂。</w:t>
      </w:r>
    </w:p>
    <w:p w14:paraId="0A8D1410">
      <w:pPr>
        <w:spacing w:line="312" w:lineRule="auto"/>
        <w:ind w:firstLine="420"/>
        <w:rPr>
          <w:rFonts w:ascii="宋体" w:hAnsi="宋体" w:cs="宋体"/>
          <w:szCs w:val="21"/>
        </w:rPr>
      </w:pPr>
      <w:r>
        <w:rPr>
          <w:rFonts w:hint="eastAsia" w:ascii="宋体" w:hAnsi="宋体" w:cs="宋体"/>
          <w:szCs w:val="21"/>
        </w:rPr>
        <w:t>（二）本公司员工不得给予温州金洋集装箱码头有限公司及相关单位或个人的任何不正当馈赠。</w:t>
      </w:r>
    </w:p>
    <w:p w14:paraId="1DA87281">
      <w:pPr>
        <w:spacing w:line="312" w:lineRule="auto"/>
        <w:ind w:firstLine="420"/>
        <w:rPr>
          <w:rFonts w:ascii="宋体" w:hAnsi="宋体" w:cs="宋体"/>
          <w:szCs w:val="21"/>
        </w:rPr>
      </w:pPr>
      <w:r>
        <w:rPr>
          <w:rFonts w:hint="eastAsia" w:ascii="宋体" w:hAnsi="宋体" w:cs="宋体"/>
          <w:szCs w:val="21"/>
        </w:rPr>
        <w:t>（三）本公司员工不得接受温州金洋集装箱码头有限公司及相关单位或个人的任何不正当馈赠。</w:t>
      </w:r>
    </w:p>
    <w:p w14:paraId="5135AA12">
      <w:pPr>
        <w:spacing w:line="312" w:lineRule="auto"/>
        <w:ind w:firstLine="420"/>
        <w:rPr>
          <w:rFonts w:ascii="宋体" w:hAnsi="宋体" w:cs="宋体"/>
          <w:szCs w:val="21"/>
        </w:rPr>
      </w:pPr>
      <w:r>
        <w:rPr>
          <w:rFonts w:hint="eastAsia" w:ascii="宋体" w:hAnsi="宋体" w:cs="宋体"/>
          <w:szCs w:val="21"/>
        </w:rPr>
        <w:t>（四）本公司员工不得参加温州金洋集装箱码头有限公司及有关单位安排的可能影响公正执行公务的宴请、旅游、考察等活动。</w:t>
      </w:r>
    </w:p>
    <w:p w14:paraId="090907DA">
      <w:pPr>
        <w:spacing w:line="312" w:lineRule="auto"/>
        <w:ind w:firstLine="420"/>
        <w:rPr>
          <w:rFonts w:ascii="宋体" w:hAnsi="宋体" w:cs="宋体"/>
          <w:szCs w:val="21"/>
        </w:rPr>
      </w:pPr>
      <w:r>
        <w:rPr>
          <w:rFonts w:hint="eastAsia" w:ascii="宋体" w:hAnsi="宋体" w:cs="宋体"/>
          <w:szCs w:val="21"/>
        </w:rPr>
        <w:t>（五）本公司员工不得从事其他可能影响廉洁商业的行为。</w:t>
      </w:r>
    </w:p>
    <w:p w14:paraId="1752B5D4">
      <w:pPr>
        <w:spacing w:line="312" w:lineRule="auto"/>
        <w:ind w:firstLine="420"/>
        <w:rPr>
          <w:rFonts w:ascii="宋体" w:hAnsi="宋体" w:cs="宋体"/>
          <w:szCs w:val="21"/>
        </w:rPr>
      </w:pPr>
      <w:r>
        <w:rPr>
          <w:rFonts w:hint="eastAsia" w:ascii="宋体" w:hAnsi="宋体" w:cs="宋体"/>
          <w:szCs w:val="21"/>
        </w:rPr>
        <w:t>4.本公司坚持诚信商业行为，依法依约保守温州金洋集装箱码头有限公司的商业秘密。</w:t>
      </w:r>
    </w:p>
    <w:p w14:paraId="4BC84485">
      <w:pPr>
        <w:spacing w:line="312" w:lineRule="auto"/>
        <w:ind w:firstLine="420"/>
        <w:rPr>
          <w:rFonts w:ascii="宋体" w:hAnsi="宋体" w:cs="宋体"/>
          <w:szCs w:val="21"/>
        </w:rPr>
      </w:pPr>
      <w:r>
        <w:rPr>
          <w:rFonts w:hint="eastAsia" w:ascii="宋体" w:hAnsi="宋体" w:cs="宋体"/>
          <w:szCs w:val="21"/>
        </w:rPr>
        <w:t>5.本公司严守缔约精神，全面履行合同义务，不擅自变更、中止以及不履行合同，发生履约突发事件时将当及时通知温州金洋集装箱码头有限公司。</w:t>
      </w:r>
    </w:p>
    <w:p w14:paraId="25D011D9">
      <w:pPr>
        <w:spacing w:line="312" w:lineRule="auto"/>
        <w:ind w:firstLine="420"/>
        <w:rPr>
          <w:rFonts w:ascii="宋体" w:hAnsi="宋体" w:cs="宋体"/>
          <w:szCs w:val="21"/>
        </w:rPr>
      </w:pPr>
      <w:r>
        <w:rPr>
          <w:rFonts w:hint="eastAsia" w:ascii="宋体" w:hAnsi="宋体" w:cs="宋体"/>
          <w:szCs w:val="21"/>
        </w:rPr>
        <w:t>6.本公司同意在合同目的范围内配合温州金洋集装箱码头有限公司的合规检查，不得隐瞒可能造成温州金洋集装箱码头有限公司利益受损的信息。</w:t>
      </w:r>
    </w:p>
    <w:p w14:paraId="67FBF16E">
      <w:pPr>
        <w:spacing w:line="312" w:lineRule="auto"/>
        <w:ind w:firstLine="420"/>
        <w:rPr>
          <w:rFonts w:ascii="宋体" w:hAnsi="宋体" w:cs="宋体"/>
          <w:szCs w:val="21"/>
        </w:rPr>
      </w:pPr>
      <w:r>
        <w:rPr>
          <w:rFonts w:hint="eastAsia" w:ascii="宋体" w:hAnsi="宋体" w:cs="宋体"/>
          <w:szCs w:val="21"/>
        </w:rPr>
        <w:t>7.本公司承诺对本承诺书执行情况进行监督检查，本公司及员工未遵守承诺事项，本公司承诺自愿赔偿由此给温州金洋集装箱码头有限公司造成的损失，或按相关合同约定承担违约责任，且温州金洋集装箱码头有限公司有权终止相关合同。</w:t>
      </w:r>
    </w:p>
    <w:p w14:paraId="358D9764">
      <w:pPr>
        <w:spacing w:line="312" w:lineRule="auto"/>
        <w:ind w:firstLine="420"/>
        <w:rPr>
          <w:rFonts w:ascii="宋体" w:hAnsi="宋体" w:cs="宋体"/>
          <w:szCs w:val="21"/>
        </w:rPr>
      </w:pPr>
      <w:r>
        <w:rPr>
          <w:rFonts w:hint="eastAsia" w:ascii="宋体" w:hAnsi="宋体" w:cs="宋体"/>
          <w:szCs w:val="21"/>
        </w:rPr>
        <w:t>本承诺函一式两份，经承诺人签字/盖章后生效，由承诺人和温州金洋集装箱码头有限公司各保留一份。</w:t>
      </w:r>
    </w:p>
    <w:p w14:paraId="045F5899">
      <w:pPr>
        <w:spacing w:line="312" w:lineRule="auto"/>
        <w:ind w:firstLine="420"/>
        <w:rPr>
          <w:rFonts w:ascii="宋体" w:hAnsi="宋体" w:cs="宋体"/>
          <w:szCs w:val="21"/>
        </w:rPr>
      </w:pPr>
      <w:r>
        <w:rPr>
          <w:rFonts w:hint="eastAsia" w:ascii="宋体" w:hAnsi="宋体" w:cs="宋体"/>
          <w:szCs w:val="21"/>
        </w:rPr>
        <w:t xml:space="preserve">                                          承诺人（盖章）：</w:t>
      </w:r>
    </w:p>
    <w:p w14:paraId="4109CF2F">
      <w:pPr>
        <w:spacing w:line="312" w:lineRule="auto"/>
        <w:ind w:firstLine="2310" w:firstLineChars="1100"/>
        <w:rPr>
          <w:rFonts w:ascii="宋体" w:hAnsi="宋体" w:cs="宋体"/>
          <w:szCs w:val="21"/>
        </w:rPr>
      </w:pPr>
      <w:r>
        <w:rPr>
          <w:rFonts w:hint="eastAsia" w:ascii="宋体" w:hAnsi="宋体" w:cs="宋体"/>
          <w:szCs w:val="21"/>
        </w:rPr>
        <w:t>法定代表人或其委托代理人（签字或盖章）：</w:t>
      </w:r>
    </w:p>
    <w:p w14:paraId="10F3F6C4">
      <w:pPr>
        <w:spacing w:line="312" w:lineRule="auto"/>
        <w:ind w:firstLine="420"/>
        <w:rPr>
          <w:rFonts w:ascii="宋体" w:hAnsi="宋体" w:cs="宋体"/>
          <w:szCs w:val="21"/>
        </w:rPr>
      </w:pPr>
      <w:r>
        <w:rPr>
          <w:rFonts w:hint="eastAsia" w:ascii="宋体" w:hAnsi="宋体" w:cs="宋体"/>
          <w:szCs w:val="21"/>
        </w:rPr>
        <w:t xml:space="preserve">                                                    </w:t>
      </w:r>
    </w:p>
    <w:p w14:paraId="3873BBAE">
      <w:pPr>
        <w:spacing w:line="312" w:lineRule="auto"/>
        <w:ind w:right="960" w:firstLine="4830" w:firstLineChars="2300"/>
        <w:rPr>
          <w:rFonts w:ascii="宋体" w:hAnsi="宋体" w:cs="宋体"/>
          <w:szCs w:val="21"/>
        </w:rPr>
      </w:pPr>
      <w:r>
        <w:rPr>
          <w:rFonts w:hint="eastAsia" w:ascii="宋体" w:hAnsi="宋体" w:cs="宋体"/>
          <w:szCs w:val="21"/>
        </w:rPr>
        <w:t xml:space="preserve"> 2026年  月  日</w:t>
      </w:r>
    </w:p>
    <w:p w14:paraId="6F533277">
      <w:pPr>
        <w:spacing w:line="312" w:lineRule="auto"/>
        <w:ind w:right="960" w:firstLine="420"/>
        <w:jc w:val="left"/>
        <w:rPr>
          <w:rFonts w:ascii="宋体" w:hAnsi="宋体" w:cs="仿宋"/>
          <w:sz w:val="24"/>
        </w:rPr>
      </w:pPr>
      <w:r>
        <w:rPr>
          <w:rFonts w:hint="eastAsia" w:ascii="宋体" w:hAnsi="宋体" w:cs="宋体"/>
          <w:szCs w:val="21"/>
        </w:rPr>
        <w:br w:type="page"/>
      </w:r>
      <w:r>
        <w:rPr>
          <w:rFonts w:hint="eastAsia" w:ascii="宋体" w:hAnsi="宋体" w:cs="仿宋"/>
          <w:sz w:val="24"/>
        </w:rPr>
        <w:t>附件3</w:t>
      </w:r>
    </w:p>
    <w:p w14:paraId="6991CA76">
      <w:pPr>
        <w:spacing w:line="640" w:lineRule="exact"/>
        <w:ind w:firstLine="0" w:firstLineChars="0"/>
        <w:jc w:val="center"/>
        <w:rPr>
          <w:rFonts w:ascii="宋体" w:hAnsi="宋体" w:cs="仿宋"/>
          <w:bCs/>
          <w:sz w:val="36"/>
          <w:szCs w:val="36"/>
        </w:rPr>
      </w:pPr>
      <w:bookmarkStart w:id="28" w:name="_Toc11939_WPSOffice_Level1"/>
      <w:bookmarkStart w:id="29" w:name="_Toc18599_WPSOffice_Level2"/>
      <w:bookmarkStart w:id="30" w:name="_Toc3950_WPSOffice_Level2"/>
      <w:bookmarkStart w:id="31" w:name="_Toc31942_WPSOffice_Level1"/>
      <w:bookmarkStart w:id="32" w:name="_Toc23310_WPSOffice_Level1"/>
      <w:r>
        <w:rPr>
          <w:rFonts w:hint="eastAsia" w:ascii="宋体" w:hAnsi="宋体" w:cs="仿宋"/>
          <w:bCs/>
          <w:sz w:val="36"/>
          <w:szCs w:val="36"/>
        </w:rPr>
        <w:t>网络与信息安全责任书（承诺书）</w:t>
      </w:r>
      <w:bookmarkEnd w:id="28"/>
      <w:bookmarkEnd w:id="29"/>
      <w:bookmarkEnd w:id="30"/>
      <w:bookmarkEnd w:id="31"/>
      <w:bookmarkEnd w:id="32"/>
    </w:p>
    <w:p w14:paraId="69714895">
      <w:pPr>
        <w:spacing w:line="560" w:lineRule="exact"/>
        <w:ind w:firstLine="420"/>
        <w:rPr>
          <w:rFonts w:ascii="宋体" w:hAnsi="宋体" w:cs="宋体"/>
          <w:szCs w:val="21"/>
        </w:rPr>
      </w:pPr>
      <w:r>
        <w:rPr>
          <w:rFonts w:hint="eastAsia" w:ascii="宋体" w:hAnsi="宋体" w:cs="宋体"/>
          <w:szCs w:val="21"/>
        </w:rPr>
        <w:t>为保障网络与信息安全，维护国家安全和社会稳定，保护公民、法人和其他组织的合法权益，本公司及所属人员在温州金洋集装箱码头有限公司从事信息化项目建设、运维过程中，郑重承诺严格履行相关法律义务，承担以下责任：</w:t>
      </w:r>
    </w:p>
    <w:p w14:paraId="5B318144">
      <w:pPr>
        <w:spacing w:line="560" w:lineRule="exact"/>
        <w:ind w:firstLine="420"/>
        <w:rPr>
          <w:rFonts w:ascii="宋体" w:hAnsi="宋体" w:cs="宋体"/>
          <w:szCs w:val="21"/>
        </w:rPr>
      </w:pPr>
      <w:r>
        <w:rPr>
          <w:rFonts w:hint="eastAsia" w:ascii="宋体" w:hAnsi="宋体" w:cs="宋体"/>
          <w:szCs w:val="21"/>
        </w:rPr>
        <w:t>一、严格遵守《全国人民代表大会常务委员会关于维护互联网安全的决定》、《中华人民共和国网络安全法》、《中华人民共和国计算机信息系统安全保护条例》等法律法规和规章的有关规定，依法开展信息化项目建设、运维服务。对温州金洋集装箱码头有限公司提供的信息服务行为承担法律、行政、民事责任。</w:t>
      </w:r>
    </w:p>
    <w:p w14:paraId="47B14588">
      <w:pPr>
        <w:spacing w:line="560" w:lineRule="exact"/>
        <w:ind w:firstLine="420"/>
        <w:rPr>
          <w:rFonts w:ascii="宋体" w:hAnsi="宋体" w:cs="宋体"/>
          <w:szCs w:val="21"/>
        </w:rPr>
      </w:pPr>
      <w:r>
        <w:rPr>
          <w:rFonts w:hint="eastAsia" w:ascii="宋体" w:hAnsi="宋体" w:cs="宋体"/>
          <w:szCs w:val="21"/>
        </w:rPr>
        <w:t>二、建立和完善网络安全技术措施，定期进行安全风险分析与系统漏洞测试，防止病毒传播和被非法控制为网络攻击的跳板，确保温州金洋集装箱码头有限公司信息系统安全可靠运行。</w:t>
      </w:r>
    </w:p>
    <w:p w14:paraId="248DD56F">
      <w:pPr>
        <w:spacing w:line="560" w:lineRule="exact"/>
        <w:ind w:firstLine="420"/>
        <w:rPr>
          <w:rFonts w:ascii="宋体" w:hAnsi="宋体" w:cs="宋体"/>
          <w:szCs w:val="21"/>
        </w:rPr>
      </w:pPr>
      <w:r>
        <w:rPr>
          <w:rFonts w:hint="eastAsia" w:ascii="宋体" w:hAnsi="宋体" w:cs="宋体"/>
          <w:szCs w:val="21"/>
        </w:rPr>
        <w:t>三、不得从事下列危害网络安全的行为：</w:t>
      </w:r>
    </w:p>
    <w:p w14:paraId="04209187">
      <w:pPr>
        <w:spacing w:line="560" w:lineRule="exact"/>
        <w:ind w:firstLine="420"/>
        <w:rPr>
          <w:rFonts w:ascii="宋体" w:hAnsi="宋体" w:cs="宋体"/>
          <w:szCs w:val="21"/>
        </w:rPr>
      </w:pPr>
      <w:bookmarkStart w:id="33" w:name="_Toc9245_WPSOffice_Level1"/>
      <w:bookmarkStart w:id="34" w:name="_Toc13966_WPSOffice_Level1"/>
      <w:bookmarkStart w:id="35" w:name="_Toc22797_WPSOffice_Level1"/>
      <w:r>
        <w:rPr>
          <w:rFonts w:hint="eastAsia" w:ascii="宋体" w:hAnsi="宋体" w:cs="宋体"/>
          <w:szCs w:val="21"/>
        </w:rPr>
        <w:t>1.制作或者故意传播计算机病毒以及其他破坏性程序；</w:t>
      </w:r>
      <w:bookmarkEnd w:id="33"/>
      <w:bookmarkEnd w:id="34"/>
      <w:bookmarkEnd w:id="35"/>
    </w:p>
    <w:p w14:paraId="6364180A">
      <w:pPr>
        <w:spacing w:line="560" w:lineRule="exact"/>
        <w:ind w:firstLine="420"/>
        <w:rPr>
          <w:rFonts w:ascii="宋体" w:hAnsi="宋体" w:cs="宋体"/>
          <w:szCs w:val="21"/>
        </w:rPr>
      </w:pPr>
      <w:bookmarkStart w:id="36" w:name="_Toc4170_WPSOffice_Level1"/>
      <w:bookmarkStart w:id="37" w:name="_Toc5051_WPSOffice_Level1"/>
      <w:bookmarkStart w:id="38" w:name="_Toc22953_WPSOffice_Level1"/>
      <w:r>
        <w:rPr>
          <w:rFonts w:hint="eastAsia" w:ascii="宋体" w:hAnsi="宋体" w:cs="宋体"/>
          <w:szCs w:val="21"/>
        </w:rPr>
        <w:t>2.非法侵入计算机信息系统或者破坏计算机信息系统功能、数据和应用程序；</w:t>
      </w:r>
      <w:bookmarkEnd w:id="36"/>
      <w:bookmarkEnd w:id="37"/>
      <w:bookmarkEnd w:id="38"/>
    </w:p>
    <w:p w14:paraId="14E3C96E">
      <w:pPr>
        <w:spacing w:line="560" w:lineRule="exact"/>
        <w:ind w:firstLine="420"/>
        <w:rPr>
          <w:rFonts w:ascii="宋体" w:hAnsi="宋体" w:cs="宋体"/>
          <w:szCs w:val="21"/>
        </w:rPr>
      </w:pPr>
      <w:bookmarkStart w:id="39" w:name="_Toc19156_WPSOffice_Level1"/>
      <w:bookmarkStart w:id="40" w:name="_Toc17429_WPSOffice_Level1"/>
      <w:bookmarkStart w:id="41" w:name="_Toc5584_WPSOffice_Level1"/>
      <w:r>
        <w:rPr>
          <w:rFonts w:hint="eastAsia" w:ascii="宋体" w:hAnsi="宋体" w:cs="宋体"/>
          <w:szCs w:val="21"/>
        </w:rPr>
        <w:t>3.法律、行政法规禁止的其他行为。</w:t>
      </w:r>
      <w:bookmarkEnd w:id="39"/>
      <w:bookmarkEnd w:id="40"/>
      <w:bookmarkEnd w:id="41"/>
    </w:p>
    <w:p w14:paraId="609C3064">
      <w:pPr>
        <w:spacing w:line="560" w:lineRule="exact"/>
        <w:ind w:firstLine="420"/>
        <w:rPr>
          <w:rFonts w:ascii="宋体" w:hAnsi="宋体" w:cs="宋体"/>
          <w:szCs w:val="21"/>
        </w:rPr>
      </w:pPr>
      <w:r>
        <w:rPr>
          <w:rFonts w:hint="eastAsia" w:ascii="宋体" w:hAnsi="宋体" w:cs="宋体"/>
          <w:szCs w:val="21"/>
        </w:rPr>
        <w:t>四、在服务过程中发现安全事件应及时控制和处理，保留有关原始记录，并及时向温州金洋集装箱码头有限公司报告。</w:t>
      </w:r>
    </w:p>
    <w:p w14:paraId="47C19297">
      <w:pPr>
        <w:spacing w:line="560" w:lineRule="exact"/>
        <w:ind w:firstLine="420"/>
        <w:rPr>
          <w:rFonts w:ascii="宋体" w:hAnsi="宋体" w:cs="宋体"/>
          <w:szCs w:val="21"/>
        </w:rPr>
      </w:pPr>
      <w:r>
        <w:rPr>
          <w:rFonts w:hint="eastAsia" w:ascii="宋体" w:hAnsi="宋体" w:cs="宋体"/>
          <w:szCs w:val="21"/>
        </w:rPr>
        <w:t>五、遵守温州金洋集装箱码头有限公司网络安全相关规章制度。严格保守相关秘密，确保不泄漏温州金洋集装箱码头有限公司有关商业信息和技术资料。</w:t>
      </w:r>
    </w:p>
    <w:p w14:paraId="780CC512">
      <w:pPr>
        <w:spacing w:line="560" w:lineRule="exact"/>
        <w:ind w:firstLine="420"/>
        <w:rPr>
          <w:rFonts w:ascii="宋体" w:hAnsi="宋体" w:cs="宋体"/>
          <w:szCs w:val="21"/>
        </w:rPr>
      </w:pPr>
      <w:r>
        <w:rPr>
          <w:rFonts w:hint="eastAsia" w:ascii="宋体" w:hAnsi="宋体" w:cs="宋体"/>
          <w:szCs w:val="21"/>
        </w:rPr>
        <w:t>六、本责任书（承诺书）主合同生效之日起生效。</w:t>
      </w:r>
    </w:p>
    <w:p w14:paraId="529FF962">
      <w:pPr>
        <w:spacing w:line="560" w:lineRule="exact"/>
        <w:ind w:firstLine="3150" w:firstLineChars="1500"/>
        <w:rPr>
          <w:rFonts w:ascii="宋体" w:hAnsi="宋体" w:cs="宋体"/>
          <w:szCs w:val="21"/>
        </w:rPr>
      </w:pPr>
      <w:r>
        <w:rPr>
          <w:rFonts w:hint="eastAsia" w:ascii="宋体" w:hAnsi="宋体" w:cs="宋体"/>
          <w:szCs w:val="21"/>
        </w:rPr>
        <w:t>责任单位（盖章）：</w:t>
      </w:r>
    </w:p>
    <w:p w14:paraId="04986A00">
      <w:pPr>
        <w:spacing w:line="560" w:lineRule="exact"/>
        <w:ind w:firstLine="3360" w:firstLineChars="1600"/>
        <w:rPr>
          <w:rFonts w:ascii="宋体" w:hAnsi="宋体" w:cs="宋体"/>
          <w:szCs w:val="21"/>
        </w:rPr>
      </w:pPr>
      <w:r>
        <w:rPr>
          <w:rFonts w:hint="eastAsia" w:ascii="宋体" w:hAnsi="宋体" w:cs="宋体"/>
          <w:szCs w:val="21"/>
        </w:rPr>
        <w:t>代表人（签字）：</w:t>
      </w:r>
    </w:p>
    <w:p w14:paraId="1F9C5AB7">
      <w:pPr>
        <w:spacing w:line="560" w:lineRule="exact"/>
        <w:ind w:firstLine="0" w:firstLineChars="0"/>
        <w:rPr>
          <w:rFonts w:ascii="宋体" w:hAnsi="宋体" w:cs="宋体"/>
          <w:szCs w:val="21"/>
        </w:rPr>
      </w:pPr>
      <w:r>
        <w:rPr>
          <w:rFonts w:hint="eastAsia" w:ascii="宋体" w:hAnsi="宋体" w:cs="宋体"/>
          <w:szCs w:val="21"/>
        </w:rPr>
        <w:t xml:space="preserve">                                   年   月   日</w:t>
      </w:r>
    </w:p>
    <w:p w14:paraId="38487909">
      <w:pPr>
        <w:spacing w:line="560" w:lineRule="exact"/>
        <w:ind w:firstLine="0" w:firstLineChars="0"/>
        <w:rPr>
          <w:rFonts w:ascii="宋体" w:hAnsi="宋体" w:cs="宋体"/>
          <w:sz w:val="24"/>
        </w:rPr>
      </w:pPr>
      <w:r>
        <w:rPr>
          <w:rFonts w:hint="eastAsia" w:ascii="宋体" w:hAnsi="宋体" w:cs="宋体"/>
          <w:szCs w:val="21"/>
        </w:rPr>
        <w:br w:type="page"/>
      </w:r>
      <w:r>
        <w:rPr>
          <w:rFonts w:hint="eastAsia" w:ascii="宋体" w:hAnsi="宋体" w:cs="宋体"/>
          <w:sz w:val="24"/>
        </w:rPr>
        <w:t xml:space="preserve">附件4  </w:t>
      </w:r>
    </w:p>
    <w:p w14:paraId="3EFDB425">
      <w:pPr>
        <w:spacing w:line="560" w:lineRule="exact"/>
        <w:ind w:firstLine="0" w:firstLineChars="0"/>
        <w:jc w:val="center"/>
        <w:rPr>
          <w:rFonts w:ascii="宋体" w:hAnsi="宋体"/>
          <w:sz w:val="36"/>
          <w:szCs w:val="36"/>
        </w:rPr>
      </w:pPr>
      <w:r>
        <w:rPr>
          <w:rFonts w:hint="eastAsia" w:ascii="宋体" w:hAnsi="宋体" w:cs="宋体"/>
        </w:rPr>
        <w:t xml:space="preserve">     </w:t>
      </w:r>
      <w:r>
        <w:rPr>
          <w:rFonts w:hint="eastAsia" w:ascii="宋体" w:hAnsi="宋体" w:cs="宋体"/>
          <w:sz w:val="36"/>
          <w:szCs w:val="36"/>
        </w:rPr>
        <w:t xml:space="preserve"> </w:t>
      </w:r>
      <w:r>
        <w:rPr>
          <w:rFonts w:hint="eastAsia" w:ascii="宋体" w:hAnsi="宋体"/>
          <w:sz w:val="36"/>
          <w:szCs w:val="36"/>
        </w:rPr>
        <w:t>温州金洋集装箱码头有限公司</w:t>
      </w:r>
    </w:p>
    <w:p w14:paraId="461A7A3F">
      <w:pPr>
        <w:spacing w:line="560" w:lineRule="exact"/>
        <w:ind w:firstLine="0" w:firstLineChars="0"/>
        <w:jc w:val="center"/>
        <w:rPr>
          <w:rFonts w:ascii="宋体" w:hAnsi="宋体"/>
          <w:sz w:val="36"/>
          <w:szCs w:val="36"/>
        </w:rPr>
      </w:pPr>
      <w:r>
        <w:rPr>
          <w:rFonts w:hint="eastAsia" w:ascii="宋体" w:hAnsi="宋体"/>
          <w:sz w:val="36"/>
          <w:szCs w:val="36"/>
        </w:rPr>
        <w:t>社会治安综合治理责任书</w:t>
      </w:r>
    </w:p>
    <w:p w14:paraId="4A68FEF1">
      <w:pPr>
        <w:spacing w:line="560" w:lineRule="exact"/>
        <w:ind w:firstLine="0" w:firstLineChars="0"/>
        <w:jc w:val="center"/>
        <w:rPr>
          <w:rFonts w:ascii="仿宋_GB2312" w:hAnsi="宋体" w:eastAsia="仿宋_GB2312"/>
          <w:sz w:val="32"/>
          <w:szCs w:val="32"/>
        </w:rPr>
      </w:pPr>
      <w:r>
        <w:rPr>
          <w:rFonts w:hint="eastAsia" w:ascii="仿宋_GB2312" w:hAnsi="宋体" w:eastAsia="仿宋_GB2312"/>
          <w:sz w:val="32"/>
          <w:szCs w:val="32"/>
        </w:rPr>
        <w:t xml:space="preserve">                      </w:t>
      </w:r>
    </w:p>
    <w:p w14:paraId="15D06EC1">
      <w:pPr>
        <w:spacing w:line="288" w:lineRule="auto"/>
        <w:ind w:firstLine="420"/>
        <w:rPr>
          <w:rFonts w:ascii="宋体" w:hAnsi="宋体" w:cs="宋体"/>
          <w:szCs w:val="21"/>
        </w:rPr>
      </w:pPr>
      <w:r>
        <w:rPr>
          <w:rFonts w:hint="eastAsia" w:ascii="宋体" w:hAnsi="宋体" w:cs="宋体"/>
          <w:szCs w:val="21"/>
        </w:rPr>
        <w:t xml:space="preserve">为深化“平安国企”“平安温港”建设，贯彻落实上级加强港区管理的精神和要求，维护好港区良好的生产、作业、交通、办公秩序，根据港区社会治安综合治理相关要求，温州金洋集装箱码头有限公司（以下简称“金洋公司”）与相关方单位（以下简称“相关方单位”）签订本责任书。 </w:t>
      </w:r>
    </w:p>
    <w:p w14:paraId="47D7BAF5">
      <w:pPr>
        <w:spacing w:line="288" w:lineRule="auto"/>
        <w:ind w:firstLine="420"/>
        <w:rPr>
          <w:rFonts w:ascii="宋体" w:hAnsi="宋体" w:cs="宋体"/>
          <w:szCs w:val="21"/>
        </w:rPr>
      </w:pPr>
      <w:r>
        <w:rPr>
          <w:rFonts w:hint="eastAsia" w:ascii="宋体" w:hAnsi="宋体" w:cs="宋体"/>
          <w:szCs w:val="21"/>
        </w:rPr>
        <w:t>一、相关方单位应加强对综治维稳工作的领导，将其摆上重要议事日程，贯彻“生产、综治两手抓”的原则，根据本责任书要求，严格抓好单位内部的综合治理工作，对本单位的综合治理工作负有直接责任。</w:t>
      </w:r>
    </w:p>
    <w:p w14:paraId="6A5C0A2B">
      <w:pPr>
        <w:spacing w:line="288" w:lineRule="auto"/>
        <w:ind w:firstLine="420"/>
        <w:rPr>
          <w:rFonts w:ascii="宋体" w:hAnsi="宋体" w:cs="宋体"/>
          <w:szCs w:val="21"/>
        </w:rPr>
      </w:pPr>
      <w:r>
        <w:rPr>
          <w:rFonts w:hint="eastAsia" w:ascii="宋体" w:hAnsi="宋体" w:cs="宋体"/>
          <w:szCs w:val="21"/>
        </w:rPr>
        <w:t>二、相关方单位应积极组织职工学习法律法规、规章制度和安全业务知识，做好职工人身、财产安全管理和提醒工作，教导职工文明上下班、文明开展工作，不断增强职工的法制观念、安全意识。</w:t>
      </w:r>
    </w:p>
    <w:p w14:paraId="3ADB3A37">
      <w:pPr>
        <w:spacing w:line="288" w:lineRule="auto"/>
        <w:ind w:firstLine="420"/>
        <w:rPr>
          <w:rFonts w:ascii="宋体" w:hAnsi="宋体" w:cs="宋体"/>
          <w:szCs w:val="21"/>
        </w:rPr>
      </w:pPr>
      <w:r>
        <w:rPr>
          <w:rFonts w:hint="eastAsia" w:ascii="宋体" w:hAnsi="宋体" w:cs="宋体"/>
          <w:szCs w:val="21"/>
        </w:rPr>
        <w:t>三、相关方单位应积极做好职工思想政治工作，随时掌握职工思想情绪和动态，排查各类不稳定因素，并及时化解矛盾，防止矛盾激化。</w:t>
      </w:r>
    </w:p>
    <w:p w14:paraId="28A46FF4">
      <w:pPr>
        <w:spacing w:line="288" w:lineRule="auto"/>
        <w:ind w:firstLine="420"/>
        <w:rPr>
          <w:rFonts w:ascii="宋体" w:hAnsi="宋体" w:cs="宋体"/>
          <w:szCs w:val="21"/>
        </w:rPr>
      </w:pPr>
      <w:r>
        <w:rPr>
          <w:rFonts w:hint="eastAsia" w:ascii="宋体" w:hAnsi="宋体" w:cs="宋体"/>
          <w:szCs w:val="21"/>
        </w:rPr>
        <w:t>四、相关方单位应加强防火防盗工作，做好治安安全检查和自备（或指定）消防设施、消防器材等各类安全器材的保管保养工作，不得随意挪动、破坏、占用消防设备设施。抓好环境卫生工作，保持通道畅通，消除不安全因素。</w:t>
      </w:r>
    </w:p>
    <w:p w14:paraId="7354BCD4">
      <w:pPr>
        <w:spacing w:line="288" w:lineRule="auto"/>
        <w:ind w:firstLine="420"/>
        <w:rPr>
          <w:rFonts w:ascii="宋体" w:hAnsi="宋体" w:cs="宋体"/>
          <w:szCs w:val="21"/>
        </w:rPr>
      </w:pPr>
      <w:r>
        <w:rPr>
          <w:rFonts w:hint="eastAsia" w:ascii="宋体" w:hAnsi="宋体" w:cs="宋体"/>
          <w:szCs w:val="21"/>
        </w:rPr>
        <w:t>五、相关方单位应加强人员入港管理，驻港工作人员资料提前报金洋公司安全卫环部备案办理《进港证》，人员变动应及时向金洋公司报备更新。因港方业务需要进入港区生产区域的，港方业务对口部室负责相关方人员的备案及港内引领工作。无关人员禁止进入港区生产区域。</w:t>
      </w:r>
    </w:p>
    <w:p w14:paraId="57328DB6">
      <w:pPr>
        <w:spacing w:line="288" w:lineRule="auto"/>
        <w:ind w:firstLine="420"/>
        <w:rPr>
          <w:rFonts w:ascii="宋体" w:hAnsi="宋体" w:cs="宋体"/>
          <w:szCs w:val="21"/>
        </w:rPr>
      </w:pPr>
      <w:r>
        <w:rPr>
          <w:rFonts w:hint="eastAsia" w:ascii="宋体" w:hAnsi="宋体" w:cs="宋体"/>
          <w:szCs w:val="21"/>
        </w:rPr>
        <w:t>六、相关方单位人员在进入港区前，该人员归属相关方单位应及时传达港区综治工作要求，了解港区相关管理规章制度，掌握必要的安全消防环保等常识，了解港区的安全环境特点，安全规程要求及作业秩序纪律和其它安全规定。</w:t>
      </w:r>
    </w:p>
    <w:p w14:paraId="603C0120">
      <w:pPr>
        <w:spacing w:line="288" w:lineRule="auto"/>
        <w:ind w:firstLine="420"/>
        <w:rPr>
          <w:rFonts w:ascii="宋体" w:hAnsi="宋体" w:cs="宋体"/>
          <w:szCs w:val="21"/>
        </w:rPr>
      </w:pPr>
      <w:r>
        <w:rPr>
          <w:rFonts w:hint="eastAsia" w:ascii="宋体" w:hAnsi="宋体" w:cs="宋体"/>
          <w:szCs w:val="21"/>
        </w:rPr>
        <w:t>七、相关方单位应加强车辆入港管理，入港车辆资料提前报金洋公司安全卫环部备案办理《进港证》，并按港方指定路线行驶。港区生产作业区域除实施车辆、作业车辆、送货车辆、特种车辆外，其他车辆未经允许禁止通行。</w:t>
      </w:r>
    </w:p>
    <w:p w14:paraId="43A73050">
      <w:pPr>
        <w:spacing w:line="288" w:lineRule="auto"/>
        <w:ind w:firstLine="420"/>
        <w:rPr>
          <w:rFonts w:ascii="宋体" w:hAnsi="宋体" w:cs="宋体"/>
          <w:szCs w:val="21"/>
        </w:rPr>
      </w:pPr>
      <w:r>
        <w:rPr>
          <w:rFonts w:hint="eastAsia" w:ascii="宋体" w:hAnsi="宋体" w:cs="宋体"/>
          <w:szCs w:val="21"/>
        </w:rPr>
        <w:t>八、相关方单位应加强出入管理，港区已备案的相关方驻港人员、汽车、摩托车、电瓶车等，应主动出示证件或持《进港证》进入，外来客户需引领登记进港。港区原则上实行“西进东出”通行规则，步行人员可从西大门人员门禁出港，先出后入。人员应走人行道，汽车、摩托车、电瓶车按区域规定停放。</w:t>
      </w:r>
    </w:p>
    <w:p w14:paraId="7F64F10D">
      <w:pPr>
        <w:spacing w:line="288" w:lineRule="auto"/>
        <w:ind w:firstLine="420"/>
        <w:rPr>
          <w:rFonts w:ascii="宋体" w:hAnsi="宋体" w:cs="宋体"/>
          <w:szCs w:val="21"/>
        </w:rPr>
      </w:pPr>
      <w:r>
        <w:rPr>
          <w:rFonts w:hint="eastAsia" w:ascii="宋体" w:hAnsi="宋体" w:cs="宋体"/>
          <w:szCs w:val="21"/>
        </w:rPr>
        <w:t>九、相关方单位应严格遵守禁止共享单车进入本港区规定，严禁一切跟车(人)闯港等行为，做到一车(人)一杆。</w:t>
      </w:r>
    </w:p>
    <w:p w14:paraId="16946723">
      <w:pPr>
        <w:spacing w:line="288" w:lineRule="auto"/>
        <w:ind w:firstLine="420"/>
        <w:rPr>
          <w:rFonts w:ascii="宋体" w:hAnsi="宋体" w:cs="宋体"/>
          <w:szCs w:val="21"/>
        </w:rPr>
      </w:pPr>
      <w:r>
        <w:rPr>
          <w:rFonts w:hint="eastAsia" w:ascii="宋体" w:hAnsi="宋体" w:cs="宋体"/>
          <w:szCs w:val="21"/>
        </w:rPr>
        <w:t>十、相关方单位人员应遵守国家及省市相关环境法律法规的要求，严格执行港区环境保护管理有关规定制度；严禁在港区乱扔垃圾，乱倒废水、废渣；废弃物应按照港区要求进行分类，并投至相应垃圾桶。</w:t>
      </w:r>
    </w:p>
    <w:p w14:paraId="2C82D49D">
      <w:pPr>
        <w:spacing w:line="288" w:lineRule="auto"/>
        <w:ind w:firstLine="420"/>
        <w:rPr>
          <w:rFonts w:ascii="宋体" w:hAnsi="宋体" w:cs="宋体"/>
          <w:szCs w:val="21"/>
        </w:rPr>
      </w:pPr>
      <w:r>
        <w:rPr>
          <w:rFonts w:hint="eastAsia" w:ascii="宋体" w:hAnsi="宋体" w:cs="宋体"/>
          <w:szCs w:val="21"/>
        </w:rPr>
        <w:t>十一、相关方船舶严禁私自在码头靠离泊，在港船舶的船员下船须提前申报，做到非必要不出舱、非必要不下船，有必要下船必须应穿戴好安全帽、反光衣，并向金洋公司通报，要出港通知代理公司接送。</w:t>
      </w:r>
    </w:p>
    <w:p w14:paraId="1ED80105">
      <w:pPr>
        <w:spacing w:line="288" w:lineRule="auto"/>
        <w:ind w:firstLine="420"/>
        <w:rPr>
          <w:rFonts w:ascii="宋体" w:hAnsi="宋体" w:cs="宋体"/>
          <w:szCs w:val="21"/>
        </w:rPr>
      </w:pPr>
      <w:r>
        <w:rPr>
          <w:rFonts w:hint="eastAsia" w:ascii="宋体" w:hAnsi="宋体" w:cs="宋体"/>
          <w:szCs w:val="21"/>
        </w:rPr>
        <w:t>十二、相关方单位要落实安全防火措施，预防火灾和遏制火灾危害。每天下班前应有专人检查安全，做到断水、断电、关窗锁门。未经允许，不准使用大功率电器，不准私拉电力线路，以防火灾。确保驻港大楼的楼道以及其他消防通道的畅通，严禁占用、堵塞、封闭安全出口，影响安全消防通道的正常通行。严禁出现“三合一”情况。</w:t>
      </w:r>
    </w:p>
    <w:p w14:paraId="349F7A90">
      <w:pPr>
        <w:spacing w:line="288" w:lineRule="auto"/>
        <w:ind w:firstLine="420"/>
        <w:rPr>
          <w:rFonts w:ascii="宋体" w:hAnsi="宋体" w:cs="宋体"/>
          <w:szCs w:val="21"/>
        </w:rPr>
      </w:pPr>
      <w:r>
        <w:rPr>
          <w:rFonts w:hint="eastAsia" w:ascii="宋体" w:hAnsi="宋体" w:cs="宋体"/>
          <w:szCs w:val="21"/>
        </w:rPr>
        <w:t>十三、相关方单位作业使用的机械设备必须符合国家相关要求，并取得相应的运营资格证书，操作人员必须持证作业。设备、工具如有特殊要求，如是否防爆或存在危险因素，应及时向有关部门说明，需要配合的应同有关部门及时取得联系，经许可后方可进行作业。</w:t>
      </w:r>
    </w:p>
    <w:p w14:paraId="121BAF0B">
      <w:pPr>
        <w:spacing w:line="288" w:lineRule="auto"/>
        <w:ind w:firstLine="420"/>
        <w:rPr>
          <w:rFonts w:ascii="宋体" w:hAnsi="宋体" w:cs="宋体"/>
          <w:szCs w:val="21"/>
        </w:rPr>
      </w:pPr>
      <w:r>
        <w:rPr>
          <w:rFonts w:hint="eastAsia" w:ascii="宋体" w:hAnsi="宋体" w:cs="宋体"/>
          <w:szCs w:val="21"/>
        </w:rPr>
        <w:t>十四、相关方单位作业应遵守港区安保防盗相关规定，相关方人员携带物品、器具等出港，必须出具出门单等有效证明并经检查后方可出港。</w:t>
      </w:r>
    </w:p>
    <w:p w14:paraId="1C5AAA3E">
      <w:pPr>
        <w:spacing w:line="288" w:lineRule="auto"/>
        <w:ind w:firstLine="420"/>
        <w:rPr>
          <w:rFonts w:ascii="宋体" w:hAnsi="宋体" w:cs="宋体"/>
          <w:szCs w:val="21"/>
        </w:rPr>
      </w:pPr>
      <w:r>
        <w:rPr>
          <w:rFonts w:hint="eastAsia" w:ascii="宋体" w:hAnsi="宋体" w:cs="宋体"/>
          <w:szCs w:val="21"/>
        </w:rPr>
        <w:t>十五、相关方单位外来作业队伍作业前要辨识出作业过程中的风险隐患等危险因素，并制定落实相关防范措施，方可进行作业。</w:t>
      </w:r>
    </w:p>
    <w:p w14:paraId="2F092855">
      <w:pPr>
        <w:spacing w:line="288" w:lineRule="auto"/>
        <w:ind w:firstLine="420"/>
        <w:rPr>
          <w:rFonts w:ascii="宋体" w:hAnsi="宋体" w:cs="宋体"/>
          <w:szCs w:val="21"/>
        </w:rPr>
      </w:pPr>
      <w:r>
        <w:rPr>
          <w:rFonts w:hint="eastAsia" w:ascii="宋体" w:hAnsi="宋体" w:cs="宋体"/>
          <w:szCs w:val="21"/>
        </w:rPr>
        <w:t>十六、相关方单位人员在港区要遵守国家法律法规，发现有偷窃、打架斗殴、酒驾醉驾或进行“黄赌毒”行为的，将按港区有关规定处置，造成一定不良后果的,追究该相关方全部责任,并将当事人移交公安机关。相关方单位应严把人员招聘关，防止有前科、恶迹的人员进入港区驻港工作或作业。</w:t>
      </w:r>
    </w:p>
    <w:p w14:paraId="0627AE3D">
      <w:pPr>
        <w:spacing w:line="288" w:lineRule="auto"/>
        <w:ind w:firstLine="420"/>
        <w:rPr>
          <w:rFonts w:ascii="宋体" w:hAnsi="宋体" w:cs="宋体"/>
          <w:szCs w:val="21"/>
        </w:rPr>
      </w:pPr>
      <w:r>
        <w:rPr>
          <w:rFonts w:hint="eastAsia" w:ascii="宋体" w:hAnsi="宋体" w:cs="宋体"/>
          <w:szCs w:val="21"/>
        </w:rPr>
        <w:t>十七、相关方单位负责人应将生产经营和综治维稳统筹兼顾，及时检查、督促、指导工作，把综治维稳工作各项措施落实到位，支持配合好金洋公司归口部门关于综治工作的日常管理。</w:t>
      </w:r>
    </w:p>
    <w:p w14:paraId="7596F22C">
      <w:pPr>
        <w:spacing w:line="288" w:lineRule="auto"/>
        <w:ind w:firstLine="420"/>
        <w:rPr>
          <w:rFonts w:ascii="宋体" w:hAnsi="宋体" w:cs="宋体"/>
          <w:szCs w:val="21"/>
        </w:rPr>
      </w:pPr>
      <w:r>
        <w:rPr>
          <w:rFonts w:hint="eastAsia" w:ascii="宋体" w:hAnsi="宋体" w:cs="宋体"/>
          <w:szCs w:val="21"/>
        </w:rPr>
        <w:t>十八、本责任书正本一式贰份，金洋公司综合治理办公室与各相关方单位各执壹份。本责任书由金洋公司综合治理办公室负责解释，有效期自合同签订日起至项目验收合格日止。期间如双方有人事变动，由继任者履行责任书职责。</w:t>
      </w:r>
    </w:p>
    <w:p w14:paraId="029CCA8A">
      <w:pPr>
        <w:spacing w:line="288" w:lineRule="auto"/>
        <w:ind w:firstLine="401" w:firstLineChars="191"/>
        <w:rPr>
          <w:rFonts w:ascii="宋体" w:hAnsi="宋体" w:cs="宋体"/>
          <w:szCs w:val="21"/>
        </w:rPr>
      </w:pPr>
    </w:p>
    <w:p w14:paraId="149ED69F">
      <w:pPr>
        <w:spacing w:line="288" w:lineRule="auto"/>
        <w:ind w:firstLine="0" w:firstLineChars="0"/>
        <w:rPr>
          <w:rFonts w:ascii="宋体" w:hAnsi="宋体" w:cs="宋体"/>
          <w:szCs w:val="21"/>
        </w:rPr>
      </w:pPr>
      <w:r>
        <w:rPr>
          <w:rFonts w:hint="eastAsia" w:ascii="宋体" w:hAnsi="宋体" w:cs="宋体"/>
          <w:szCs w:val="21"/>
        </w:rPr>
        <w:t xml:space="preserve">金洋公司(盖章）：                             相关方(盖章）：  </w:t>
      </w:r>
    </w:p>
    <w:p w14:paraId="035FC28C">
      <w:pPr>
        <w:spacing w:line="288" w:lineRule="auto"/>
        <w:ind w:firstLine="0" w:firstLineChars="0"/>
        <w:rPr>
          <w:rFonts w:ascii="宋体" w:hAnsi="宋体" w:cs="宋体"/>
          <w:szCs w:val="21"/>
        </w:rPr>
      </w:pPr>
    </w:p>
    <w:p w14:paraId="3D3AFDD4">
      <w:pPr>
        <w:spacing w:line="288" w:lineRule="auto"/>
        <w:ind w:firstLine="0" w:firstLineChars="0"/>
        <w:rPr>
          <w:rFonts w:ascii="宋体" w:hAnsi="宋体" w:cs="宋体"/>
          <w:szCs w:val="21"/>
        </w:rPr>
      </w:pPr>
      <w:r>
        <w:rPr>
          <w:rFonts w:hint="eastAsia" w:ascii="宋体" w:hAnsi="宋体" w:cs="宋体"/>
          <w:szCs w:val="21"/>
        </w:rPr>
        <w:t xml:space="preserve"> </w:t>
      </w:r>
    </w:p>
    <w:p w14:paraId="3326D3F1">
      <w:pPr>
        <w:spacing w:line="288" w:lineRule="auto"/>
        <w:ind w:firstLine="0" w:firstLineChars="0"/>
        <w:rPr>
          <w:rFonts w:ascii="宋体" w:hAnsi="宋体" w:cs="宋体"/>
          <w:szCs w:val="21"/>
        </w:rPr>
      </w:pPr>
      <w:r>
        <w:rPr>
          <w:rFonts w:hint="eastAsia" w:ascii="宋体" w:hAnsi="宋体" w:cs="宋体"/>
          <w:szCs w:val="21"/>
        </w:rPr>
        <w:t>代表(签字或盖章)：                           代表(签字或盖章)：</w:t>
      </w:r>
    </w:p>
    <w:p w14:paraId="735E8E97">
      <w:pPr>
        <w:spacing w:line="288" w:lineRule="auto"/>
        <w:ind w:firstLine="0" w:firstLineChars="0"/>
        <w:rPr>
          <w:rFonts w:ascii="宋体" w:hAnsi="宋体" w:cs="宋体"/>
          <w:szCs w:val="21"/>
        </w:rPr>
      </w:pPr>
    </w:p>
    <w:p w14:paraId="6B03E90F">
      <w:pPr>
        <w:spacing w:line="288" w:lineRule="auto"/>
        <w:ind w:firstLine="0" w:firstLineChars="0"/>
        <w:rPr>
          <w:rFonts w:ascii="宋体" w:hAnsi="宋体" w:cs="宋体"/>
          <w:szCs w:val="21"/>
        </w:rPr>
      </w:pPr>
    </w:p>
    <w:p w14:paraId="0517EB64">
      <w:pPr>
        <w:spacing w:line="288" w:lineRule="auto"/>
        <w:ind w:firstLine="0" w:firstLineChars="0"/>
        <w:rPr>
          <w:rFonts w:ascii="宋体" w:hAnsi="宋体" w:cs="宋体"/>
          <w:szCs w:val="21"/>
          <w:shd w:val="clear" w:color="auto" w:fill="FFFFFF"/>
        </w:rPr>
      </w:pPr>
      <w:r>
        <w:rPr>
          <w:rFonts w:hint="eastAsia" w:ascii="宋体" w:hAnsi="宋体" w:cs="宋体"/>
          <w:szCs w:val="21"/>
        </w:rPr>
        <w:t>联系电话: 0577-62677821                      联系电话:</w:t>
      </w:r>
      <w:r>
        <w:rPr>
          <w:rFonts w:hint="eastAsia" w:ascii="宋体" w:hAnsi="宋体" w:cs="宋体"/>
          <w:szCs w:val="21"/>
          <w:shd w:val="clear" w:color="auto" w:fill="FFFFFF"/>
        </w:rPr>
        <w:t xml:space="preserve">    </w:t>
      </w:r>
    </w:p>
    <w:p w14:paraId="22379DF8">
      <w:pPr>
        <w:tabs>
          <w:tab w:val="left" w:pos="482"/>
          <w:tab w:val="left" w:pos="2183"/>
          <w:tab w:val="left" w:pos="3884"/>
          <w:tab w:val="left" w:pos="5585"/>
        </w:tabs>
        <w:spacing w:after="120" w:line="460" w:lineRule="exact"/>
        <w:ind w:firstLine="0" w:firstLineChars="0"/>
        <w:rPr>
          <w:rFonts w:ascii="宋体" w:hAnsi="宋体" w:cs="宋体"/>
          <w:sz w:val="24"/>
        </w:rPr>
      </w:pPr>
      <w:r>
        <w:rPr>
          <w:rFonts w:hint="eastAsia" w:ascii="宋体" w:hAnsi="宋体" w:cs="宋体"/>
          <w:sz w:val="24"/>
        </w:rPr>
        <w:br w:type="page"/>
      </w:r>
      <w:r>
        <w:rPr>
          <w:rFonts w:hint="eastAsia" w:ascii="宋体" w:hAnsi="宋体" w:cs="宋体"/>
          <w:sz w:val="24"/>
        </w:rPr>
        <w:t xml:space="preserve">附件5                       </w:t>
      </w:r>
    </w:p>
    <w:p w14:paraId="3374E960">
      <w:pPr>
        <w:spacing w:line="460" w:lineRule="exact"/>
        <w:ind w:firstLine="0" w:firstLineChars="0"/>
        <w:jc w:val="center"/>
        <w:rPr>
          <w:rFonts w:ascii="宋体" w:hAnsi="宋体" w:cs="宋体"/>
          <w:sz w:val="36"/>
          <w:szCs w:val="36"/>
        </w:rPr>
      </w:pPr>
      <w:r>
        <w:rPr>
          <w:rFonts w:hint="eastAsia" w:ascii="宋体" w:hAnsi="宋体" w:cs="宋体"/>
          <w:sz w:val="36"/>
          <w:szCs w:val="36"/>
        </w:rPr>
        <w:t>廉政责任书</w:t>
      </w:r>
    </w:p>
    <w:p w14:paraId="4F770B7F">
      <w:pPr>
        <w:spacing w:line="460" w:lineRule="exact"/>
        <w:ind w:firstLine="0" w:firstLineChars="0"/>
        <w:rPr>
          <w:rFonts w:ascii="宋体" w:hAnsi="宋体" w:cs="宋体"/>
        </w:rPr>
      </w:pPr>
      <w:r>
        <w:rPr>
          <w:rFonts w:hint="eastAsia" w:ascii="宋体" w:hAnsi="宋体" w:cs="宋体"/>
        </w:rPr>
        <w:t> </w:t>
      </w:r>
    </w:p>
    <w:p w14:paraId="2331FE47">
      <w:pPr>
        <w:spacing w:line="460" w:lineRule="exact"/>
        <w:ind w:firstLine="0" w:firstLineChars="0"/>
        <w:rPr>
          <w:rFonts w:ascii="宋体" w:hAnsi="宋体" w:cs="宋体"/>
        </w:rPr>
      </w:pPr>
      <w:r>
        <w:rPr>
          <w:rFonts w:hint="eastAsia" w:ascii="宋体" w:hAnsi="宋体" w:cs="宋体"/>
        </w:rPr>
        <w:t>甲方：温州金洋集装箱码头有限公司</w:t>
      </w:r>
    </w:p>
    <w:p w14:paraId="6FCFD07A">
      <w:pPr>
        <w:spacing w:line="460" w:lineRule="exact"/>
        <w:ind w:firstLine="0" w:firstLineChars="0"/>
        <w:rPr>
          <w:rFonts w:ascii="宋体" w:hAnsi="宋体" w:cs="宋体"/>
        </w:rPr>
      </w:pPr>
      <w:r>
        <w:rPr>
          <w:rFonts w:hint="eastAsia" w:ascii="宋体" w:hAnsi="宋体" w:cs="宋体"/>
        </w:rPr>
        <w:t>  </w:t>
      </w:r>
    </w:p>
    <w:p w14:paraId="221D1305">
      <w:pPr>
        <w:spacing w:line="460" w:lineRule="exact"/>
        <w:ind w:firstLine="0" w:firstLineChars="0"/>
        <w:rPr>
          <w:rFonts w:ascii="宋体" w:hAnsi="宋体" w:cs="宋体"/>
        </w:rPr>
      </w:pPr>
      <w:r>
        <w:rPr>
          <w:rFonts w:hint="eastAsia" w:ascii="宋体" w:hAnsi="宋体" w:cs="宋体"/>
        </w:rPr>
        <w:t xml:space="preserve">乙方：   </w:t>
      </w:r>
    </w:p>
    <w:p w14:paraId="1C80A7C0">
      <w:pPr>
        <w:widowControl/>
        <w:spacing w:line="460" w:lineRule="exact"/>
        <w:ind w:firstLine="0" w:firstLineChars="0"/>
        <w:jc w:val="left"/>
        <w:rPr>
          <w:rFonts w:ascii="宋体" w:hAnsi="宋体" w:cs="宋体"/>
          <w:lang w:val="zh-TW" w:eastAsia="zh-TW"/>
        </w:rPr>
      </w:pPr>
      <w:r>
        <w:rPr>
          <w:rFonts w:hint="eastAsia" w:ascii="宋体" w:hAnsi="宋体" w:cs="宋体"/>
        </w:rPr>
        <w:t xml:space="preserve">    </w:t>
      </w:r>
      <w:r>
        <w:rPr>
          <w:rFonts w:hint="eastAsia" w:ascii="宋体" w:hAnsi="宋体" w:cs="宋体"/>
          <w:lang w:val="zh-TW" w:eastAsia="zh-TW"/>
        </w:rPr>
        <w:t>为加强公司廉政建设，规范</w:t>
      </w:r>
      <w:r>
        <w:rPr>
          <w:rFonts w:hint="eastAsia" w:ascii="宋体" w:hAnsi="宋体" w:cs="宋体"/>
          <w:lang w:val="zh-TW"/>
        </w:rPr>
        <w:t>双</w:t>
      </w:r>
      <w:r>
        <w:rPr>
          <w:rFonts w:hint="eastAsia" w:ascii="宋体" w:hAnsi="宋体" w:cs="宋体"/>
          <w:lang w:val="zh-TW" w:eastAsia="zh-TW"/>
        </w:rPr>
        <w:t>方在生产、经营、管理</w:t>
      </w:r>
      <w:r>
        <w:rPr>
          <w:rFonts w:hint="eastAsia" w:ascii="宋体" w:hAnsi="宋体" w:cs="宋体"/>
          <w:lang w:val="zh-TW"/>
        </w:rPr>
        <w:t>、履约</w:t>
      </w:r>
      <w:r>
        <w:rPr>
          <w:rFonts w:hint="eastAsia" w:ascii="宋体" w:hAnsi="宋体" w:cs="宋体"/>
          <w:lang w:val="zh-TW" w:eastAsia="zh-TW"/>
        </w:rPr>
        <w:t>等活动中的各项行为，防止发生各种谋取不正当利益的违法违纪行为，保护国家、集体和当事人的合法权益，根据国家相关法律法规和廉政建设的规定，特订立本</w:t>
      </w:r>
      <w:r>
        <w:rPr>
          <w:rFonts w:hint="eastAsia" w:ascii="宋体" w:hAnsi="宋体" w:cs="宋体"/>
          <w:lang w:val="zh-TW"/>
        </w:rPr>
        <w:t>廉政</w:t>
      </w:r>
      <w:r>
        <w:rPr>
          <w:rFonts w:hint="eastAsia" w:ascii="宋体" w:hAnsi="宋体" w:cs="宋体"/>
          <w:lang w:val="zh-TW" w:eastAsia="zh-TW"/>
        </w:rPr>
        <w:t>责任书。</w:t>
      </w:r>
    </w:p>
    <w:p w14:paraId="61A2C850">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 xml:space="preserve"> </w:t>
      </w:r>
      <w:r>
        <w:rPr>
          <w:rFonts w:hint="eastAsia" w:ascii="宋体" w:hAnsi="宋体" w:cs="宋体"/>
          <w:szCs w:val="21"/>
          <w:lang w:val="zh-TW"/>
        </w:rPr>
        <w:t>第一条</w:t>
      </w:r>
      <w:r>
        <w:rPr>
          <w:rFonts w:hint="eastAsia" w:ascii="宋体" w:hAnsi="宋体" w:cs="宋体"/>
          <w:szCs w:val="21"/>
        </w:rPr>
        <w:t xml:space="preserve"> </w:t>
      </w:r>
      <w:r>
        <w:rPr>
          <w:rFonts w:hint="eastAsia" w:ascii="宋体" w:hAnsi="宋体" w:cs="宋体"/>
          <w:szCs w:val="21"/>
          <w:lang w:val="zh-TW" w:eastAsia="zh-TW"/>
        </w:rPr>
        <w:t>甲乙双方的责任</w:t>
      </w:r>
    </w:p>
    <w:p w14:paraId="25F94E88">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lang w:val="zh-TW"/>
        </w:rPr>
        <w:t>一</w:t>
      </w:r>
      <w:r>
        <w:rPr>
          <w:rFonts w:hint="eastAsia" w:ascii="宋体" w:hAnsi="宋体" w:cs="宋体"/>
          <w:szCs w:val="21"/>
          <w:lang w:val="zh-TW" w:eastAsia="zh-TW"/>
        </w:rPr>
        <w:t>）严格执行</w:t>
      </w:r>
      <w:r>
        <w:rPr>
          <w:rFonts w:hint="eastAsia" w:ascii="宋体" w:hAnsi="宋体" w:cs="宋体"/>
          <w:szCs w:val="21"/>
        </w:rPr>
        <w:t>本</w:t>
      </w:r>
      <w:r>
        <w:rPr>
          <w:rFonts w:hint="eastAsia" w:ascii="宋体" w:hAnsi="宋体" w:cs="宋体"/>
          <w:szCs w:val="21"/>
          <w:lang w:val="zh-TW" w:eastAsia="zh-TW"/>
        </w:rPr>
        <w:t>合同文件，自觉按合同</w:t>
      </w:r>
      <w:r>
        <w:rPr>
          <w:rFonts w:hint="eastAsia" w:ascii="宋体" w:hAnsi="宋体" w:cs="宋体"/>
          <w:szCs w:val="21"/>
          <w:lang w:val="zh-TW"/>
        </w:rPr>
        <w:t>条款履行</w:t>
      </w:r>
      <w:r>
        <w:rPr>
          <w:rFonts w:hint="eastAsia" w:ascii="宋体" w:hAnsi="宋体" w:cs="宋体"/>
          <w:szCs w:val="21"/>
          <w:lang w:val="zh-TW" w:eastAsia="zh-TW"/>
        </w:rPr>
        <w:t>。</w:t>
      </w:r>
    </w:p>
    <w:p w14:paraId="7896F374">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lang w:val="zh-TW"/>
        </w:rPr>
        <w:t>二</w:t>
      </w:r>
      <w:r>
        <w:rPr>
          <w:rFonts w:hint="eastAsia" w:ascii="宋体" w:hAnsi="宋体" w:cs="宋体"/>
          <w:szCs w:val="21"/>
          <w:lang w:val="zh-TW" w:eastAsia="zh-TW"/>
        </w:rPr>
        <w:t>）严格遵守国家法律法规和公司的各项规章制度，避免个人利益和个人经济活动与本公司的利益相冲突及其他可能影响公司形象和利益的经济活动。</w:t>
      </w:r>
    </w:p>
    <w:p w14:paraId="660E5E08">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lang w:val="zh-TW"/>
        </w:rPr>
        <w:t>三</w:t>
      </w:r>
      <w:r>
        <w:rPr>
          <w:rFonts w:hint="eastAsia" w:ascii="宋体" w:hAnsi="宋体" w:cs="宋体"/>
          <w:szCs w:val="21"/>
          <w:lang w:val="zh-TW" w:eastAsia="zh-TW"/>
        </w:rPr>
        <w:t>）建立健全廉政制度、监督制度和处罚制度，开展廉政教育，设立廉政告示牌，公布举报电话。</w:t>
      </w:r>
    </w:p>
    <w:p w14:paraId="0D5A342C">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lang w:val="zh-TW"/>
        </w:rPr>
        <w:t>四</w:t>
      </w:r>
      <w:r>
        <w:rPr>
          <w:rFonts w:hint="eastAsia" w:ascii="宋体" w:hAnsi="宋体" w:cs="宋体"/>
          <w:szCs w:val="21"/>
          <w:lang w:val="zh-TW" w:eastAsia="zh-TW"/>
        </w:rPr>
        <w:t>）双方的业务活动坚持公开、公平、公正、诚信、透明的原则（除法律认定的商业秘密和合同文件另有规定之外），不得损害国家和集体利益，不得违反采购、招投标等方面的规章制度。</w:t>
      </w:r>
    </w:p>
    <w:p w14:paraId="668AC4C2">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lang w:val="zh-TW"/>
        </w:rPr>
        <w:t>五</w:t>
      </w:r>
      <w:r>
        <w:rPr>
          <w:rFonts w:hint="eastAsia" w:ascii="宋体" w:hAnsi="宋体" w:cs="宋体"/>
          <w:szCs w:val="21"/>
          <w:lang w:val="zh-TW" w:eastAsia="zh-TW"/>
        </w:rPr>
        <w:t>）发现对方在业务活动中有违规、违纪、违法行为的，应及时提醒对方，情节严重的，应向其上级主管部门或纪检</w:t>
      </w:r>
      <w:r>
        <w:rPr>
          <w:rFonts w:hint="eastAsia" w:ascii="宋体" w:hAnsi="宋体" w:cs="宋体"/>
          <w:szCs w:val="21"/>
        </w:rPr>
        <w:t>部门检举、揭发</w:t>
      </w:r>
      <w:r>
        <w:rPr>
          <w:rFonts w:hint="eastAsia" w:ascii="宋体" w:hAnsi="宋体" w:cs="宋体"/>
          <w:szCs w:val="21"/>
          <w:lang w:val="zh-TW" w:eastAsia="zh-TW"/>
        </w:rPr>
        <w:t>。</w:t>
      </w:r>
    </w:p>
    <w:p w14:paraId="5E4ACFCB">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第二条  甲方的责任</w:t>
      </w:r>
    </w:p>
    <w:p w14:paraId="78E20D4B">
      <w:pPr>
        <w:adjustRightInd w:val="0"/>
        <w:snapToGrid w:val="0"/>
        <w:spacing w:line="420" w:lineRule="exact"/>
        <w:ind w:firstLine="420"/>
        <w:rPr>
          <w:rFonts w:ascii="宋体" w:hAnsi="宋体" w:cs="宋体"/>
          <w:szCs w:val="21"/>
        </w:rPr>
      </w:pPr>
      <w:r>
        <w:rPr>
          <w:rFonts w:hint="eastAsia" w:ascii="宋体" w:hAnsi="宋体" w:cs="宋体"/>
          <w:szCs w:val="21"/>
          <w:lang w:val="zh-TW" w:eastAsia="zh-TW"/>
        </w:rPr>
        <w:t>甲方的领导和</w:t>
      </w:r>
      <w:r>
        <w:rPr>
          <w:rFonts w:hint="eastAsia" w:ascii="宋体" w:hAnsi="宋体" w:cs="宋体"/>
          <w:szCs w:val="21"/>
          <w:lang w:val="zh-TW"/>
        </w:rPr>
        <w:t>经办合同</w:t>
      </w:r>
      <w:r>
        <w:rPr>
          <w:rFonts w:hint="eastAsia" w:ascii="宋体" w:hAnsi="宋体" w:cs="宋体"/>
          <w:szCs w:val="21"/>
          <w:lang w:val="zh-TW" w:eastAsia="zh-TW"/>
        </w:rPr>
        <w:t>的工作人员，在</w:t>
      </w:r>
      <w:r>
        <w:rPr>
          <w:rFonts w:hint="eastAsia" w:ascii="宋体" w:hAnsi="宋体" w:cs="宋体"/>
          <w:szCs w:val="21"/>
          <w:lang w:val="zh-TW"/>
        </w:rPr>
        <w:t>履行合同</w:t>
      </w:r>
      <w:r>
        <w:rPr>
          <w:rFonts w:hint="eastAsia" w:ascii="宋体" w:hAnsi="宋体" w:cs="宋体"/>
          <w:szCs w:val="21"/>
          <w:lang w:val="zh-TW" w:eastAsia="zh-TW"/>
        </w:rPr>
        <w:t>的事前、事中、事后应遵守以下规定</w:t>
      </w:r>
      <w:r>
        <w:rPr>
          <w:rFonts w:hint="eastAsia" w:ascii="宋体" w:hAnsi="宋体" w:cs="宋体"/>
          <w:szCs w:val="21"/>
        </w:rPr>
        <w:t>:</w:t>
      </w:r>
    </w:p>
    <w:p w14:paraId="6D5E4CD8">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（一）甲方及其工作人员不得索要或接受乙方的礼金、礼券、有价证券和物品，不得</w:t>
      </w:r>
      <w:r>
        <w:rPr>
          <w:rFonts w:hint="eastAsia" w:ascii="宋体" w:hAnsi="宋体" w:cs="宋体"/>
          <w:szCs w:val="21"/>
        </w:rPr>
        <w:t>在</w:t>
      </w:r>
      <w:r>
        <w:rPr>
          <w:rFonts w:hint="eastAsia" w:ascii="宋体" w:hAnsi="宋体" w:cs="宋体"/>
          <w:szCs w:val="21"/>
          <w:lang w:val="zh-TW" w:eastAsia="zh-TW"/>
        </w:rPr>
        <w:t>乙方报销任何由甲方或个人支付的费用等</w:t>
      </w:r>
      <w:r>
        <w:rPr>
          <w:rFonts w:hint="eastAsia" w:ascii="宋体" w:hAnsi="宋体" w:cs="宋体"/>
          <w:szCs w:val="21"/>
          <w:lang w:val="zh-TW"/>
        </w:rPr>
        <w:t>，不得以任何形式向乙方索要和收受回扣或变相收受贿赂</w:t>
      </w:r>
      <w:r>
        <w:rPr>
          <w:rFonts w:hint="eastAsia" w:ascii="宋体" w:hAnsi="宋体" w:cs="宋体"/>
          <w:szCs w:val="21"/>
          <w:lang w:val="zh-TW" w:eastAsia="zh-TW"/>
        </w:rPr>
        <w:t>。</w:t>
      </w:r>
    </w:p>
    <w:p w14:paraId="7D2B3546">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（二）甲方不得有意刁难、</w:t>
      </w:r>
      <w:r>
        <w:rPr>
          <w:rFonts w:hint="eastAsia" w:ascii="宋体" w:hAnsi="宋体" w:cs="宋体"/>
          <w:szCs w:val="21"/>
          <w:lang w:val="zh-TW"/>
        </w:rPr>
        <w:t>无故</w:t>
      </w:r>
      <w:r>
        <w:rPr>
          <w:rFonts w:hint="eastAsia" w:ascii="宋体" w:hAnsi="宋体" w:cs="宋体"/>
          <w:szCs w:val="21"/>
          <w:lang w:val="zh-TW" w:eastAsia="zh-TW"/>
        </w:rPr>
        <w:t>拖延</w:t>
      </w:r>
      <w:r>
        <w:rPr>
          <w:rFonts w:hint="eastAsia" w:ascii="宋体" w:hAnsi="宋体" w:cs="宋体"/>
          <w:szCs w:val="21"/>
          <w:lang w:val="zh-TW"/>
        </w:rPr>
        <w:t>支付</w:t>
      </w:r>
      <w:r>
        <w:rPr>
          <w:rFonts w:hint="eastAsia" w:ascii="宋体" w:hAnsi="宋体" w:cs="宋体"/>
          <w:szCs w:val="21"/>
          <w:lang w:val="zh-TW" w:eastAsia="zh-TW"/>
        </w:rPr>
        <w:t>供应商</w:t>
      </w:r>
      <w:r>
        <w:rPr>
          <w:rFonts w:hint="eastAsia" w:ascii="宋体" w:hAnsi="宋体" w:cs="宋体"/>
          <w:szCs w:val="21"/>
          <w:lang w:val="zh-TW"/>
        </w:rPr>
        <w:t>款项</w:t>
      </w:r>
      <w:r>
        <w:rPr>
          <w:rFonts w:hint="eastAsia" w:ascii="宋体" w:hAnsi="宋体" w:cs="宋体"/>
          <w:szCs w:val="21"/>
          <w:lang w:val="zh-TW" w:eastAsia="zh-TW"/>
        </w:rPr>
        <w:t>，不得违反规定批拨</w:t>
      </w:r>
      <w:r>
        <w:rPr>
          <w:rFonts w:hint="eastAsia" w:ascii="宋体" w:hAnsi="宋体" w:cs="宋体"/>
          <w:szCs w:val="21"/>
          <w:lang w:val="zh-TW"/>
        </w:rPr>
        <w:t>履约</w:t>
      </w:r>
      <w:r>
        <w:rPr>
          <w:rFonts w:hint="eastAsia" w:ascii="宋体" w:hAnsi="宋体" w:cs="宋体"/>
          <w:szCs w:val="21"/>
          <w:lang w:val="zh-TW" w:eastAsia="zh-TW"/>
        </w:rPr>
        <w:t>过程中</w:t>
      </w:r>
      <w:r>
        <w:rPr>
          <w:rFonts w:hint="eastAsia" w:ascii="宋体" w:hAnsi="宋体" w:cs="宋体"/>
          <w:szCs w:val="21"/>
          <w:lang w:val="zh-TW"/>
        </w:rPr>
        <w:t>款项</w:t>
      </w:r>
      <w:r>
        <w:rPr>
          <w:rFonts w:hint="eastAsia" w:ascii="宋体" w:hAnsi="宋体" w:cs="宋体"/>
          <w:szCs w:val="21"/>
          <w:lang w:val="zh-TW" w:eastAsia="zh-TW"/>
        </w:rPr>
        <w:t>等。</w:t>
      </w:r>
    </w:p>
    <w:p w14:paraId="2F249B49">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（三）甲方工作人员不得参加乙方安排的宴请和娱乐活动；不得接受乙方提供的通信工具、交通工具和办公用品等。</w:t>
      </w:r>
    </w:p>
    <w:p w14:paraId="6F2A6D1D">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（四）甲方及其工作人员不得要求或者接受乙方为其住房装修、操办婚丧嫁娶、安排配偶子女的工作以及出国出境、旅游等。</w:t>
      </w:r>
    </w:p>
    <w:p w14:paraId="3C5759D8">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（五）不准向乙方介绍或为配偶、子女、亲属参与同甲方采购合同有关项目的设备、材料、采购分包、劳务等经济活动。不得以任何理由向乙方和相关单位推荐分包单位和要求乙方购买采购合同规定以外的。</w:t>
      </w:r>
    </w:p>
    <w:p w14:paraId="683B7AF2">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第三条  乙方责任</w:t>
      </w:r>
    </w:p>
    <w:p w14:paraId="1826FBFD">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应与甲方保持正常的业务交往，按照有关法律法规和程序开展业务工作，严格执行</w:t>
      </w:r>
      <w:r>
        <w:rPr>
          <w:rFonts w:hint="eastAsia" w:ascii="宋体" w:hAnsi="宋体" w:cs="宋体"/>
          <w:szCs w:val="21"/>
          <w:lang w:val="zh-TW"/>
        </w:rPr>
        <w:t>廉政建设方面</w:t>
      </w:r>
      <w:r>
        <w:rPr>
          <w:rFonts w:hint="eastAsia" w:ascii="宋体" w:hAnsi="宋体" w:cs="宋体"/>
          <w:szCs w:val="21"/>
          <w:lang w:val="zh-TW" w:eastAsia="zh-TW"/>
        </w:rPr>
        <w:t>的有关政策</w:t>
      </w:r>
      <w:r>
        <w:rPr>
          <w:rFonts w:hint="eastAsia" w:ascii="宋体" w:hAnsi="宋体" w:cs="宋体"/>
          <w:szCs w:val="21"/>
          <w:lang w:val="zh-TW"/>
        </w:rPr>
        <w:t>、规定</w:t>
      </w:r>
      <w:r>
        <w:rPr>
          <w:rFonts w:hint="eastAsia" w:ascii="宋体" w:hAnsi="宋体" w:cs="宋体"/>
          <w:szCs w:val="21"/>
          <w:lang w:val="zh-TW" w:eastAsia="zh-TW"/>
        </w:rPr>
        <w:t>，并遵守以下规定：</w:t>
      </w:r>
    </w:p>
    <w:p w14:paraId="61CFDC66">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（一）乙方不得以任何理由向甲方和相关单位及其工作人员行贿或馈赠礼金、礼券、有价证券、礼品。</w:t>
      </w:r>
    </w:p>
    <w:p w14:paraId="187216CF">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（二）乙方不得以任何名义为甲方和相关单位及其工作人员报销应由甲方单位或个人支付的任何费用。</w:t>
      </w:r>
    </w:p>
    <w:p w14:paraId="1AD745BF">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（三）不准为甲方、相关单位或个人装修住房、婚丧嫁娶、配偶子女的工作安排以及出国（境）、旅游等提供方便。</w:t>
      </w:r>
    </w:p>
    <w:p w14:paraId="130FC72B">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（四）乙方不得以任何理由安排甲方工作人员参加宴请及娱乐活动。</w:t>
      </w:r>
    </w:p>
    <w:p w14:paraId="1FB6902B">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（五）乙方不得为甲方单位和个人购置或提供通讯工具、交通工具和办公用品等。</w:t>
      </w:r>
    </w:p>
    <w:p w14:paraId="29EF345B">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第四条  违约责任</w:t>
      </w:r>
    </w:p>
    <w:p w14:paraId="4F165E15">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（一）甲方及其工作人员违反本责任书第一、二条，按管理权限，依据有关规定给予</w:t>
      </w:r>
      <w:r>
        <w:rPr>
          <w:rFonts w:hint="eastAsia" w:ascii="宋体" w:hAnsi="宋体" w:cs="宋体"/>
          <w:szCs w:val="21"/>
          <w:lang w:val="zh-TW"/>
        </w:rPr>
        <w:t>纪律处分</w:t>
      </w:r>
      <w:r>
        <w:rPr>
          <w:rFonts w:hint="eastAsia" w:ascii="宋体" w:hAnsi="宋体" w:cs="宋体"/>
          <w:szCs w:val="21"/>
          <w:lang w:val="zh-TW" w:eastAsia="zh-TW"/>
        </w:rPr>
        <w:t>或组织处理；涉嫌犯罪的，移送司法机关追究刑事责任；给</w:t>
      </w:r>
      <w:r>
        <w:rPr>
          <w:rFonts w:hint="eastAsia" w:ascii="宋体" w:hAnsi="宋体" w:cs="宋体"/>
          <w:szCs w:val="21"/>
          <w:lang w:val="zh-TW"/>
        </w:rPr>
        <w:t>甲</w:t>
      </w:r>
      <w:r>
        <w:rPr>
          <w:rFonts w:hint="eastAsia" w:ascii="宋体" w:hAnsi="宋体" w:cs="宋体"/>
          <w:szCs w:val="21"/>
          <w:lang w:val="zh-TW" w:eastAsia="zh-TW"/>
        </w:rPr>
        <w:t>乙方单位造成经济损失的，应予以赔偿。</w:t>
      </w:r>
    </w:p>
    <w:p w14:paraId="75CEB626">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（二）乙方及其工作人员违反本责任书第一、三条，按管理权限，依据有关规定，给予</w:t>
      </w:r>
      <w:r>
        <w:rPr>
          <w:rFonts w:hint="eastAsia" w:ascii="宋体" w:hAnsi="宋体" w:cs="宋体"/>
          <w:szCs w:val="21"/>
          <w:lang w:val="zh-TW"/>
        </w:rPr>
        <w:t>批评教育</w:t>
      </w:r>
      <w:r>
        <w:rPr>
          <w:rFonts w:hint="eastAsia" w:ascii="宋体" w:hAnsi="宋体" w:cs="宋体"/>
          <w:szCs w:val="21"/>
          <w:lang w:val="zh-TW" w:eastAsia="zh-TW"/>
        </w:rPr>
        <w:t>或停止承接业务处理；给甲</w:t>
      </w:r>
      <w:r>
        <w:rPr>
          <w:rFonts w:hint="eastAsia" w:ascii="宋体" w:hAnsi="宋体" w:cs="宋体"/>
          <w:szCs w:val="21"/>
          <w:lang w:val="zh-TW"/>
        </w:rPr>
        <w:t>乙</w:t>
      </w:r>
      <w:r>
        <w:rPr>
          <w:rFonts w:hint="eastAsia" w:ascii="宋体" w:hAnsi="宋体" w:cs="宋体"/>
          <w:szCs w:val="21"/>
          <w:lang w:val="zh-TW" w:eastAsia="zh-TW"/>
        </w:rPr>
        <w:t>方造成经济损失的，应予以赔偿；情节严重的，</w:t>
      </w:r>
      <w:r>
        <w:rPr>
          <w:rFonts w:hint="eastAsia" w:ascii="宋体" w:hAnsi="宋体" w:cs="宋体"/>
          <w:szCs w:val="21"/>
        </w:rPr>
        <w:t>甲方有权解除主合同，且</w:t>
      </w:r>
      <w:r>
        <w:rPr>
          <w:rFonts w:hint="eastAsia" w:ascii="宋体" w:hAnsi="宋体" w:cs="宋体"/>
          <w:szCs w:val="21"/>
          <w:lang w:val="zh-TW" w:eastAsia="zh-TW"/>
        </w:rPr>
        <w:t>乙方1～3年内不得参与甲方采购项目投标的处罚。</w:t>
      </w:r>
    </w:p>
    <w:p w14:paraId="390CB80F">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第</w:t>
      </w:r>
      <w:r>
        <w:rPr>
          <w:rFonts w:hint="eastAsia" w:ascii="宋体" w:hAnsi="宋体" w:cs="宋体"/>
          <w:szCs w:val="21"/>
          <w:lang w:val="zh-TW"/>
        </w:rPr>
        <w:t>五</w:t>
      </w:r>
      <w:r>
        <w:rPr>
          <w:rFonts w:hint="eastAsia" w:ascii="宋体" w:hAnsi="宋体" w:cs="宋体"/>
          <w:szCs w:val="21"/>
          <w:lang w:val="zh-TW" w:eastAsia="zh-TW"/>
        </w:rPr>
        <w:t>条  本责任书有效期同甲乙双方签署之日起至该项目款项支付完结时止。</w:t>
      </w:r>
    </w:p>
    <w:p w14:paraId="37754FCA">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第</w:t>
      </w:r>
      <w:r>
        <w:rPr>
          <w:rFonts w:hint="eastAsia" w:ascii="宋体" w:hAnsi="宋体" w:cs="宋体"/>
          <w:szCs w:val="21"/>
          <w:lang w:val="zh-TW"/>
        </w:rPr>
        <w:t>六</w:t>
      </w:r>
      <w:r>
        <w:rPr>
          <w:rFonts w:hint="eastAsia" w:ascii="宋体" w:hAnsi="宋体" w:cs="宋体"/>
          <w:szCs w:val="21"/>
          <w:lang w:val="zh-TW" w:eastAsia="zh-TW"/>
        </w:rPr>
        <w:t>条  本责任书作为合同的附件，与合同具有同等的法律效力，经双方法定代表人或其授权的代理人签署与</w:t>
      </w:r>
      <w:r>
        <w:rPr>
          <w:rFonts w:hint="eastAsia" w:ascii="宋体" w:hAnsi="宋体" w:cs="宋体"/>
          <w:szCs w:val="21"/>
          <w:lang w:val="zh-TW"/>
        </w:rPr>
        <w:t>盖章</w:t>
      </w:r>
      <w:r>
        <w:rPr>
          <w:rFonts w:hint="eastAsia" w:ascii="宋体" w:hAnsi="宋体" w:cs="宋体"/>
          <w:szCs w:val="21"/>
          <w:lang w:val="zh-TW" w:eastAsia="zh-TW"/>
        </w:rPr>
        <w:t>后生效。</w:t>
      </w:r>
    </w:p>
    <w:p w14:paraId="09748731">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第</w:t>
      </w:r>
      <w:r>
        <w:rPr>
          <w:rFonts w:hint="eastAsia" w:ascii="宋体" w:hAnsi="宋体" w:cs="宋体"/>
          <w:szCs w:val="21"/>
          <w:lang w:val="zh-TW"/>
        </w:rPr>
        <w:t>七</w:t>
      </w:r>
      <w:r>
        <w:rPr>
          <w:rFonts w:hint="eastAsia" w:ascii="宋体" w:hAnsi="宋体" w:cs="宋体"/>
          <w:szCs w:val="21"/>
          <w:lang w:val="zh-TW" w:eastAsia="zh-TW"/>
        </w:rPr>
        <w:t>条  本责任书甲、乙双方各执</w:t>
      </w:r>
      <w:r>
        <w:rPr>
          <w:rFonts w:hint="eastAsia" w:ascii="宋体" w:hAnsi="宋体" w:cs="宋体"/>
          <w:szCs w:val="21"/>
        </w:rPr>
        <w:t>壹</w:t>
      </w:r>
      <w:r>
        <w:rPr>
          <w:rFonts w:hint="eastAsia" w:ascii="宋体" w:hAnsi="宋体" w:cs="宋体"/>
          <w:szCs w:val="21"/>
          <w:lang w:val="zh-TW" w:eastAsia="zh-TW"/>
        </w:rPr>
        <w:t>份，具有同等法律效力。</w:t>
      </w:r>
    </w:p>
    <w:p w14:paraId="30C0E3F3">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 xml:space="preserve">甲方（盖章） ：                           乙方（盖章）： </w:t>
      </w:r>
    </w:p>
    <w:p w14:paraId="2AD896E0">
      <w:pPr>
        <w:adjustRightInd w:val="0"/>
        <w:snapToGrid w:val="0"/>
        <w:spacing w:line="420" w:lineRule="exact"/>
        <w:ind w:firstLine="0" w:firstLineChars="0"/>
        <w:rPr>
          <w:rFonts w:ascii="宋体" w:hAnsi="宋体" w:cs="宋体"/>
          <w:szCs w:val="21"/>
          <w:lang w:val="zh-TW" w:eastAsia="zh-TW"/>
        </w:rPr>
      </w:pPr>
      <w:r>
        <w:rPr>
          <w:rFonts w:hint="eastAsia" w:ascii="宋体" w:hAnsi="宋体" w:cs="宋体"/>
          <w:szCs w:val="21"/>
          <w:lang w:val="zh-TW" w:eastAsia="zh-TW"/>
        </w:rPr>
        <w:t xml:space="preserve">       </w:t>
      </w:r>
    </w:p>
    <w:p w14:paraId="0766E184">
      <w:pPr>
        <w:adjustRightInd w:val="0"/>
        <w:snapToGrid w:val="0"/>
        <w:spacing w:line="420" w:lineRule="exact"/>
        <w:ind w:firstLine="420"/>
        <w:rPr>
          <w:rFonts w:ascii="宋体" w:hAnsi="宋体" w:cs="宋体"/>
          <w:szCs w:val="21"/>
          <w:lang w:eastAsia="zh-TW"/>
        </w:rPr>
      </w:pPr>
      <w:r>
        <w:rPr>
          <w:rFonts w:hint="eastAsia" w:ascii="宋体" w:hAnsi="宋体" w:cs="宋体"/>
          <w:szCs w:val="21"/>
          <w:lang w:val="zh-TW" w:eastAsia="zh-TW"/>
        </w:rPr>
        <w:t>法定代表人</w:t>
      </w:r>
      <w:r>
        <w:rPr>
          <w:rFonts w:hint="eastAsia" w:ascii="宋体" w:hAnsi="宋体" w:cs="宋体"/>
          <w:szCs w:val="21"/>
          <w:lang w:eastAsia="zh-TW"/>
        </w:rPr>
        <w:t xml:space="preserve">                               </w:t>
      </w:r>
      <w:r>
        <w:rPr>
          <w:rFonts w:hint="eastAsia" w:ascii="宋体" w:hAnsi="宋体" w:cs="宋体"/>
          <w:szCs w:val="21"/>
          <w:lang w:val="zh-TW" w:eastAsia="zh-TW"/>
        </w:rPr>
        <w:t xml:space="preserve"> 法定代表人</w:t>
      </w:r>
    </w:p>
    <w:p w14:paraId="37900F3E">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或其委托代理人</w:t>
      </w:r>
      <w:r>
        <w:rPr>
          <w:rFonts w:hint="eastAsia" w:ascii="宋体" w:hAnsi="宋体" w:cs="宋体"/>
          <w:szCs w:val="21"/>
          <w:lang w:val="zh-TW"/>
        </w:rPr>
        <w:t>（</w:t>
      </w:r>
      <w:r>
        <w:rPr>
          <w:rFonts w:hint="eastAsia" w:ascii="宋体" w:hAnsi="宋体" w:cs="宋体"/>
          <w:szCs w:val="21"/>
        </w:rPr>
        <w:t>签字或盖章）</w:t>
      </w:r>
      <w:r>
        <w:rPr>
          <w:rFonts w:hint="eastAsia" w:ascii="宋体" w:hAnsi="宋体" w:cs="宋体"/>
          <w:szCs w:val="21"/>
          <w:lang w:val="zh-TW" w:eastAsia="zh-TW"/>
        </w:rPr>
        <w:t>:             或其委托代理人</w:t>
      </w:r>
      <w:r>
        <w:rPr>
          <w:rFonts w:hint="eastAsia" w:ascii="宋体" w:hAnsi="宋体" w:cs="宋体"/>
          <w:szCs w:val="21"/>
          <w:lang w:val="zh-TW"/>
        </w:rPr>
        <w:t>（</w:t>
      </w:r>
      <w:r>
        <w:rPr>
          <w:rFonts w:hint="eastAsia" w:ascii="宋体" w:hAnsi="宋体" w:cs="宋体"/>
          <w:szCs w:val="21"/>
        </w:rPr>
        <w:t>签字或盖章）</w:t>
      </w:r>
      <w:r>
        <w:rPr>
          <w:rFonts w:hint="eastAsia" w:ascii="宋体" w:hAnsi="宋体" w:cs="宋体"/>
          <w:szCs w:val="21"/>
          <w:lang w:val="zh-TW" w:eastAsia="zh-TW"/>
        </w:rPr>
        <w:t>：</w:t>
      </w:r>
    </w:p>
    <w:p w14:paraId="2BA6D9E4">
      <w:pPr>
        <w:adjustRightInd w:val="0"/>
        <w:snapToGrid w:val="0"/>
        <w:spacing w:line="420" w:lineRule="exact"/>
        <w:ind w:firstLine="420"/>
        <w:rPr>
          <w:rFonts w:ascii="宋体" w:hAnsi="宋体" w:cs="宋体"/>
          <w:szCs w:val="21"/>
          <w:lang w:val="zh-TW" w:eastAsia="zh-TW"/>
        </w:rPr>
      </w:pPr>
    </w:p>
    <w:p w14:paraId="2EFD605A">
      <w:pPr>
        <w:adjustRightInd w:val="0"/>
        <w:snapToGrid w:val="0"/>
        <w:spacing w:line="420" w:lineRule="exact"/>
        <w:ind w:firstLine="420"/>
        <w:rPr>
          <w:rFonts w:ascii="宋体" w:hAnsi="宋体" w:cs="宋体"/>
          <w:szCs w:val="21"/>
          <w:lang w:val="zh-TW" w:eastAsia="zh-TW"/>
        </w:rPr>
      </w:pPr>
    </w:p>
    <w:p w14:paraId="3BD8AA38">
      <w:pPr>
        <w:widowControl/>
        <w:spacing w:line="460" w:lineRule="exact"/>
        <w:ind w:firstLine="420"/>
        <w:jc w:val="left"/>
        <w:rPr>
          <w:rFonts w:ascii="宋体" w:hAnsi="宋体" w:cs="宋体"/>
          <w:lang w:val="zh-TW"/>
        </w:rPr>
      </w:pPr>
      <w:r>
        <w:rPr>
          <w:rFonts w:hint="eastAsia" w:ascii="宋体" w:hAnsi="宋体" w:cs="宋体"/>
          <w:lang w:val="zh-TW" w:eastAsia="zh-TW"/>
        </w:rPr>
        <w:t xml:space="preserve">                  </w:t>
      </w:r>
      <w:r>
        <w:rPr>
          <w:rFonts w:hint="eastAsia" w:ascii="宋体" w:hAnsi="宋体" w:cs="宋体"/>
        </w:rPr>
        <w:t xml:space="preserve">               </w:t>
      </w:r>
      <w:r>
        <w:rPr>
          <w:rFonts w:hint="eastAsia" w:ascii="宋体" w:hAnsi="宋体" w:cs="宋体"/>
          <w:lang w:val="zh-TW" w:eastAsia="zh-TW"/>
        </w:rPr>
        <w:t xml:space="preserve"> </w:t>
      </w:r>
      <w:r>
        <w:rPr>
          <w:rFonts w:hint="eastAsia" w:ascii="宋体" w:hAnsi="宋体" w:cs="宋体"/>
        </w:rPr>
        <w:t xml:space="preserve">    </w:t>
      </w:r>
      <w:r>
        <w:rPr>
          <w:rFonts w:hint="eastAsia" w:ascii="宋体" w:hAnsi="宋体" w:cs="宋体"/>
          <w:lang w:val="zh-TW" w:eastAsia="zh-TW"/>
        </w:rPr>
        <w:t xml:space="preserve">              </w:t>
      </w:r>
      <w:r>
        <w:rPr>
          <w:rFonts w:hint="eastAsia" w:ascii="宋体" w:hAnsi="宋体" w:cs="宋体"/>
        </w:rPr>
        <w:t xml:space="preserve">    </w:t>
      </w:r>
      <w:r>
        <w:rPr>
          <w:rFonts w:hint="eastAsia" w:ascii="宋体" w:hAnsi="宋体" w:cs="宋体"/>
          <w:lang w:val="zh-TW" w:eastAsia="zh-TW"/>
        </w:rPr>
        <w:t xml:space="preserve">   </w:t>
      </w:r>
      <w:r>
        <w:rPr>
          <w:rFonts w:hint="eastAsia" w:ascii="宋体" w:hAnsi="宋体" w:cs="宋体"/>
        </w:rPr>
        <w:t xml:space="preserve">  </w:t>
      </w:r>
      <w:r>
        <w:rPr>
          <w:rFonts w:hint="eastAsia" w:ascii="宋体" w:hAnsi="宋体" w:cs="宋体"/>
          <w:lang w:val="zh-TW"/>
        </w:rPr>
        <w:t>2026年  月  日</w:t>
      </w:r>
    </w:p>
    <w:p w14:paraId="07D5AA0F">
      <w:pPr>
        <w:widowControl/>
        <w:spacing w:line="460" w:lineRule="exact"/>
        <w:ind w:firstLine="420"/>
        <w:jc w:val="left"/>
        <w:rPr>
          <w:rFonts w:ascii="宋体" w:hAnsi="宋体" w:cs="宋体"/>
          <w:sz w:val="24"/>
        </w:rPr>
      </w:pPr>
      <w:r>
        <w:rPr>
          <w:rFonts w:hint="eastAsia" w:ascii="宋体" w:hAnsi="宋体" w:cs="宋体"/>
          <w:lang w:val="zh-TW"/>
        </w:rPr>
        <w:br w:type="page"/>
      </w:r>
      <w:r>
        <w:rPr>
          <w:rFonts w:hint="eastAsia" w:ascii="宋体" w:hAnsi="宋体" w:cs="宋体"/>
          <w:sz w:val="24"/>
        </w:rPr>
        <w:t>附件6</w:t>
      </w:r>
    </w:p>
    <w:p w14:paraId="62C94223">
      <w:pPr>
        <w:spacing w:line="50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相关方安全管理协议</w:t>
      </w:r>
    </w:p>
    <w:p w14:paraId="62AEAA50">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甲方：温州金洋集装箱码头有限公司（以下简称甲方）</w:t>
      </w:r>
    </w:p>
    <w:p w14:paraId="5E900DFA">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乙方：                          （以下简称乙方）</w:t>
      </w:r>
    </w:p>
    <w:p w14:paraId="0F5EAEF2">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乙方因业务需要，需要在甲方管辖区域内进行               。根据安全相关法律法规，经双方友好协商，现就各自安全生产管理的责任签订协议如下：</w:t>
      </w:r>
    </w:p>
    <w:p w14:paraId="268A336E">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 xml:space="preserve">一、作业地点：                                 </w:t>
      </w:r>
    </w:p>
    <w:p w14:paraId="57DDBB9B">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 xml:space="preserve">二、作业内容：                                 </w:t>
      </w:r>
    </w:p>
    <w:p w14:paraId="2B56BF5D">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三、甲方的权利和责任</w:t>
      </w:r>
    </w:p>
    <w:p w14:paraId="536A9472">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（一）甲方有权审查乙方的安全、技术、经营相关资质，有权调阅有关资料，向有关单位和人员了解情况。按照《安全生产法》的规定，有权对乙方的安全生产工作统一协调、管理。</w:t>
      </w:r>
    </w:p>
    <w:p w14:paraId="2E038377">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（二）甲方有权随机督查乙方安全管理、安全培训、安全检查活动开展情况，向乙方传达上级有关安全环保卫生工作的文件及要求等，监督其传达学习与贯彻执行。 </w:t>
      </w:r>
    </w:p>
    <w:p w14:paraId="6ADDAC65">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三）如果乙方在有危险性的区域内作业，存在可能引发火灾、爆炸、触电、高处坠落、中毒、窒息、机械伤害、烧烫伤等及容易引起人员伤害、设备事故的场所作业，甲方应事先将区域详细情况包括存在的风险以及公司相关规定要求对乙方项目负责人进行告知，乙方应定期组织召开工前安全技术交底，辨识场所安全风险，并针对性落实好相关安全防范措施和应急处置措施。 </w:t>
      </w:r>
    </w:p>
    <w:p w14:paraId="33238DA2">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四）甲方可指派管理人员对乙方进行安全监督检查与协调，甲方有权对乙方在甲方现场作业时的各项安全措施进行检查，对现场存在的隐患提出整改，有权制止乙方违章行为，并根据甲方相关方安全管理相关规定对乙方违章行为进行处理。 </w:t>
      </w:r>
    </w:p>
    <w:p w14:paraId="7591599E">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（五）对乙方严重违章且不听劝阻、不及时改正的，甲方有权责令乙方停业整顿，情节严重的可解除与乙方的业务合作关系，并有追究赔偿损失的一切权利，有权拒绝乙方有前科、劣迹人员入港。</w:t>
      </w:r>
    </w:p>
    <w:p w14:paraId="0422E5B9">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（六）甲方在上述（一）至（五）条款的安全管理履行情况，任何情况下，不得成为乙方减轻或免除乙方责任的理由，也不得成为甲方承担或分担安全方面责任的理由。 </w:t>
      </w:r>
    </w:p>
    <w:p w14:paraId="26E3F767">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四、乙方的权利和责任</w:t>
      </w:r>
    </w:p>
    <w:p w14:paraId="13BFC4A9">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（一）必须严格落实安全生产主体责任： </w:t>
      </w:r>
    </w:p>
    <w:p w14:paraId="600D1B60">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1.乙方必须具备相关行业服务资质，具备法律法规和国家标准、行业标准规定的安全生产条件。</w:t>
      </w:r>
    </w:p>
    <w:p w14:paraId="5EDBFA85">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2.依法为从业人员提供合格有效的劳动防护用品，并监督、教育其正确佩戴和使用，根据疫情防控要求落实防护措施。 </w:t>
      </w:r>
    </w:p>
    <w:p w14:paraId="7FC870FC">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3.必须依法确保安全资金投入满足安全生产条件需要；保证安全生产教育培训的资金和配备劳动保护用品的资金；乙方包括但不限于依法参加工伤保险，为从业人员缴纳人身保险、投保安全生产责任保险等。</w:t>
      </w:r>
    </w:p>
    <w:p w14:paraId="5248728F">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4.根据规定配备专（兼）职安全生产管理人员。建立健全全员安全生产责任制、建立安全风险分级管控制度和各项规章制度、操作规程。 </w:t>
      </w:r>
    </w:p>
    <w:p w14:paraId="6FE276E7">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5.开展安全生产宣传教育，依法组织从业人员参加安全生产教育培训，根据国家相关规定必须取得相应上岗资格证书的应提供相应上岗资格证书方可上岗作业。</w:t>
      </w:r>
    </w:p>
    <w:p w14:paraId="03786512">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6.依法组织开展安全生产管理活动，定期组织开展安全生产检查并做好记录，及时消除事故隐患、改善作业环境。按照安全风险分级采取相应的管控措施。 </w:t>
      </w:r>
    </w:p>
    <w:p w14:paraId="26F53655">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7.按规定报告生产安全事故、环保卫生事件，及时开展事故抢险救援，并妥善处理事故善后，无条件配合政府部门调查工作，发现存在事故隐患（不安全因素）应及时报告港区管理部门。 </w:t>
      </w:r>
    </w:p>
    <w:p w14:paraId="0AC40F45">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8.落实国家法律法规、规章制度规定的其他安全生产责任。 </w:t>
      </w:r>
    </w:p>
    <w:p w14:paraId="77C5FDF7">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二）乙方的作业人员在甲方港区从事作业活动时，应严格遵守甲方港区的有关安全生产的规章制度。要求作业人员服从港区有关安全管理人员的监督、管理。在进入甲方现场作业、服务或施工前，要对作业人员进行针对性安全技术培训，使其掌握作业特点、安全注意事项和安全应急措施等。</w:t>
      </w:r>
    </w:p>
    <w:p w14:paraId="6DB39578">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三</w:t>
      </w:r>
      <w:r>
        <w:rPr>
          <w:rFonts w:hint="eastAsia" w:ascii="宋体" w:hAnsi="宋体" w:cs="宋体"/>
          <w:szCs w:val="21"/>
          <w:lang w:val="zh-TW" w:eastAsia="zh-TW"/>
        </w:rPr>
        <w:t>）乙方的作业人员在进入港区生产区域时，应穿戴好安全帽、反光衣，不准穿拖鞋、高跟鞋；不准在港区乱停车辆（包括自行车），应遵守港区道路交通管理有关规定。严禁酒后进入港区作业，严禁带与生产无关人员进入港区；除指定位置外，未经同意司机及随从人员禁止在码头、堆场、道路等区域下车；乙方同时要根据甲方环保卫生工作要求，做好港区环境卫生，避免出现污染港区环境事件，如有影响港区环保卫生的要及时采取措施。</w:t>
      </w:r>
    </w:p>
    <w:p w14:paraId="0E962ED8">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四</w:t>
      </w:r>
      <w:r>
        <w:rPr>
          <w:rFonts w:hint="eastAsia" w:ascii="宋体" w:hAnsi="宋体" w:cs="宋体"/>
          <w:szCs w:val="21"/>
          <w:lang w:val="zh-TW" w:eastAsia="zh-TW"/>
        </w:rPr>
        <w:t>）乙方的作业人员在进入港区后，在指定位置、区域内活动，严禁擅自进入与乙方业务不相关的作业区域，若有需要进入该区域，必须提前和甲方进行协商，经同意并确认安全的情况下进入该区域进行监管作业；严禁在生产区域及禁止区域内吸烟，严禁未经审批擅自明火作业；港区消防设施、电源开关的周边地点不准乱堆货物及发生堵塞情况；港区消防器材不准移动，非紧急情况不得使用。</w:t>
      </w:r>
    </w:p>
    <w:p w14:paraId="1DDBAC03">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五</w:t>
      </w:r>
      <w:r>
        <w:rPr>
          <w:rFonts w:hint="eastAsia" w:ascii="宋体" w:hAnsi="宋体" w:cs="宋体"/>
          <w:szCs w:val="21"/>
          <w:lang w:val="zh-TW" w:eastAsia="zh-TW"/>
        </w:rPr>
        <w:t>）乙方在作业时，必须落实专人负责监管作业。</w:t>
      </w:r>
    </w:p>
    <w:p w14:paraId="3435B491">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六</w:t>
      </w:r>
      <w:r>
        <w:rPr>
          <w:rFonts w:hint="eastAsia" w:ascii="宋体" w:hAnsi="宋体" w:cs="宋体"/>
          <w:szCs w:val="21"/>
          <w:lang w:val="zh-TW" w:eastAsia="zh-TW"/>
        </w:rPr>
        <w:t>）乙方必须严格遵守甲方制定的相关方安全管理规定及其他相关安全管理规定。乙方在作业时，要服从港区安全生产人员的管理与监督，遵守港区各项规章制度。违反港区安全管理规定，港区有权处理。乙方必须遵守港区安保防盗等管理规定，如有违反港区防盗安保规定的，一经查实，一切后果由乙方承担。</w:t>
      </w:r>
    </w:p>
    <w:p w14:paraId="704A6FC0">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七</w:t>
      </w:r>
      <w:r>
        <w:rPr>
          <w:rFonts w:hint="eastAsia" w:ascii="宋体" w:hAnsi="宋体" w:cs="宋体"/>
          <w:szCs w:val="21"/>
          <w:lang w:val="zh-TW" w:eastAsia="zh-TW"/>
        </w:rPr>
        <w:t>）乙方进入甲方单位前，应根据甲方要求办理临时出入证，所有进港作业人员自觉佩戴，出入自觉接受门卫检查。乙方在非工作时间进入甲方场所，应事先说明原因，在甲方公司西大门门岗处办理登记手续并由相关方业务归口管理部门引领，方可进港。  </w:t>
      </w:r>
    </w:p>
    <w:p w14:paraId="278E4D38">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八</w:t>
      </w:r>
      <w:r>
        <w:rPr>
          <w:rFonts w:hint="eastAsia" w:ascii="宋体" w:hAnsi="宋体" w:cs="宋体"/>
          <w:szCs w:val="21"/>
          <w:lang w:val="zh-TW" w:eastAsia="zh-TW"/>
        </w:rPr>
        <w:t>）乙方的车辆、设备、人员（包括其他雇佣的相关人员与车辆）的安全管理由乙方自行负责；若因乙方未尽到管理责任而使乙方的车辆、设备等财产或人员（包括其他雇佣的相关人员与车辆）在甲方生产区域内发生一切安全事故、货损等事故的，概由乙方负责并承担损害赔偿责任，与甲方无关。因乙方原因造成甲方或第三方人身、财产等事故的，概由乙方负责并承担损害赔偿责任。</w:t>
      </w:r>
    </w:p>
    <w:p w14:paraId="7926C171">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九</w:t>
      </w:r>
      <w:r>
        <w:rPr>
          <w:rFonts w:hint="eastAsia" w:ascii="宋体" w:hAnsi="宋体" w:cs="宋体"/>
          <w:szCs w:val="21"/>
          <w:lang w:val="zh-TW" w:eastAsia="zh-TW"/>
        </w:rPr>
        <w:t>）车辆司机因生产需要进入生产区，根据业务类别不同，由归口部门指定位置、划定活动区域，非必要不下车，除紧急避险外集卡司机禁止下车。乙方要密切关注甲方在现场、门岗、网络、电话等方式的管理通告，并严格遵守相关内容。</w:t>
      </w:r>
    </w:p>
    <w:p w14:paraId="1EA07CB4">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五、甲乙双方签有业务合同且有履约保证金的，双方同意该履约保证金同时作为乙方安全生产违章、事故处理时使用，或乙方至甲方财务部以现金、电子等方式缴纳。</w:t>
      </w:r>
    </w:p>
    <w:p w14:paraId="4166BE9E">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六、本协议有效期与业务合同一致，如无具体业务合同的，在签署当年有效。为保持本协议延续性，双方同意在协议到期后，新协议尚未签署期间，协议约定依然有效。</w:t>
      </w:r>
    </w:p>
    <w:p w14:paraId="5EB92D79">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七、在执行本协议过程中产生的或与本协议有关的争议及分歧，双方应通过友好协商解决，无法达成共识时，争议解决方式与主合同保持一致。</w:t>
      </w:r>
    </w:p>
    <w:p w14:paraId="1333B6D3">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八、本协议一式二份，甲、乙双方各执一份，自双方签字盖章后生效。</w:t>
      </w:r>
    </w:p>
    <w:p w14:paraId="5E97F002">
      <w:pPr>
        <w:adjustRightInd w:val="0"/>
        <w:snapToGrid w:val="0"/>
        <w:spacing w:line="420" w:lineRule="exact"/>
        <w:ind w:firstLine="420"/>
        <w:rPr>
          <w:rFonts w:ascii="宋体" w:hAnsi="宋体" w:cs="宋体"/>
          <w:szCs w:val="21"/>
          <w:lang w:val="zh-TW" w:eastAsia="zh-TW"/>
        </w:rPr>
      </w:pPr>
    </w:p>
    <w:p w14:paraId="4112F5B7">
      <w:pPr>
        <w:adjustRightInd w:val="0"/>
        <w:snapToGrid w:val="0"/>
        <w:spacing w:line="420" w:lineRule="exact"/>
        <w:ind w:firstLine="420"/>
        <w:rPr>
          <w:rFonts w:ascii="宋体" w:hAnsi="宋体" w:cs="宋体"/>
          <w:szCs w:val="21"/>
          <w:lang w:val="zh-TW" w:eastAsia="zh-TW"/>
        </w:rPr>
      </w:pPr>
    </w:p>
    <w:p w14:paraId="3ECBB73B">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 xml:space="preserve">甲方：（盖章）                    </w:t>
      </w:r>
      <w:r>
        <w:rPr>
          <w:rFonts w:hint="eastAsia" w:ascii="宋体" w:hAnsi="宋体" w:cs="宋体"/>
          <w:szCs w:val="21"/>
        </w:rPr>
        <w:t xml:space="preserve"> </w:t>
      </w:r>
      <w:r>
        <w:rPr>
          <w:rFonts w:hint="eastAsia" w:ascii="宋体" w:hAnsi="宋体" w:cs="宋体"/>
          <w:szCs w:val="21"/>
          <w:lang w:val="zh-TW" w:eastAsia="zh-TW"/>
        </w:rPr>
        <w:t>乙方：（盖章）</w:t>
      </w:r>
    </w:p>
    <w:p w14:paraId="76EFB838">
      <w:pPr>
        <w:adjustRightInd w:val="0"/>
        <w:snapToGrid w:val="0"/>
        <w:spacing w:line="420" w:lineRule="exact"/>
        <w:ind w:firstLine="420"/>
        <w:rPr>
          <w:rFonts w:ascii="宋体" w:hAnsi="宋体" w:cs="宋体"/>
          <w:szCs w:val="21"/>
          <w:lang w:val="zh-TW" w:eastAsia="zh-TW"/>
        </w:rPr>
      </w:pPr>
    </w:p>
    <w:p w14:paraId="778383FB">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甲方代表（签字</w:t>
      </w:r>
      <w:r>
        <w:rPr>
          <w:rFonts w:hint="eastAsia" w:ascii="宋体" w:hAnsi="宋体" w:cs="宋体"/>
          <w:szCs w:val="21"/>
        </w:rPr>
        <w:t>或盖章</w:t>
      </w:r>
      <w:r>
        <w:rPr>
          <w:rFonts w:hint="eastAsia" w:ascii="宋体" w:hAnsi="宋体" w:cs="宋体"/>
          <w:szCs w:val="21"/>
          <w:lang w:val="zh-TW" w:eastAsia="zh-TW"/>
        </w:rPr>
        <w:t>）：           乙方代表（签字</w:t>
      </w:r>
      <w:r>
        <w:rPr>
          <w:rFonts w:hint="eastAsia" w:ascii="宋体" w:hAnsi="宋体" w:cs="宋体"/>
          <w:szCs w:val="21"/>
        </w:rPr>
        <w:t>或盖章</w:t>
      </w:r>
      <w:r>
        <w:rPr>
          <w:rFonts w:hint="eastAsia" w:ascii="宋体" w:hAnsi="宋体" w:cs="宋体"/>
          <w:szCs w:val="21"/>
          <w:lang w:val="zh-TW" w:eastAsia="zh-TW"/>
        </w:rPr>
        <w:t>）：</w:t>
      </w:r>
    </w:p>
    <w:p w14:paraId="6ED90253">
      <w:pPr>
        <w:adjustRightInd w:val="0"/>
        <w:snapToGrid w:val="0"/>
        <w:spacing w:line="420" w:lineRule="exact"/>
        <w:ind w:firstLine="420"/>
        <w:rPr>
          <w:rFonts w:ascii="宋体" w:hAnsi="宋体" w:cs="宋体"/>
          <w:szCs w:val="21"/>
          <w:lang w:val="zh-TW" w:eastAsia="zh-TW"/>
        </w:rPr>
      </w:pPr>
    </w:p>
    <w:p w14:paraId="1A8B0672">
      <w:pPr>
        <w:adjustRightInd w:val="0"/>
        <w:snapToGrid w:val="0"/>
        <w:spacing w:line="420" w:lineRule="exact"/>
        <w:ind w:firstLine="420"/>
        <w:rPr>
          <w:rFonts w:ascii="宋体" w:hAnsi="宋体" w:cs="宋体"/>
          <w:szCs w:val="21"/>
          <w:lang w:val="zh-TW" w:eastAsia="zh-TW"/>
        </w:rPr>
      </w:pPr>
      <w:r>
        <w:rPr>
          <w:rFonts w:hint="eastAsia" w:ascii="宋体" w:hAnsi="宋体" w:cs="宋体"/>
          <w:szCs w:val="21"/>
          <w:lang w:val="zh-TW" w:eastAsia="zh-TW"/>
        </w:rPr>
        <w:t>联系电话：                       联系电话：</w:t>
      </w:r>
    </w:p>
    <w:p w14:paraId="6136921A">
      <w:pPr>
        <w:adjustRightInd w:val="0"/>
        <w:snapToGrid w:val="0"/>
        <w:spacing w:line="420" w:lineRule="exact"/>
        <w:ind w:firstLine="420"/>
        <w:rPr>
          <w:rFonts w:ascii="仿宋_GB2312" w:hAnsi="仿宋_GB2312" w:eastAsia="仿宋_GB2312" w:cs="仿宋_GB2312"/>
          <w:szCs w:val="21"/>
        </w:rPr>
      </w:pPr>
      <w:r>
        <w:rPr>
          <w:rFonts w:hint="eastAsia" w:ascii="宋体" w:hAnsi="宋体" w:cs="宋体"/>
          <w:szCs w:val="21"/>
          <w:lang w:val="zh-TW" w:eastAsia="zh-TW"/>
        </w:rPr>
        <w:t xml:space="preserve">    年    月    日</w:t>
      </w:r>
    </w:p>
    <w:p w14:paraId="2DB152DF">
      <w:pPr>
        <w:widowControl/>
        <w:spacing w:line="560" w:lineRule="exact"/>
        <w:ind w:right="560" w:firstLine="422"/>
        <w:jc w:val="left"/>
        <w:rPr>
          <w:rFonts w:ascii="仿宋_GB2312" w:hAnsi="仿宋_GB2312" w:eastAsia="仿宋_GB2312" w:cs="仿宋_GB2312"/>
          <w:b/>
          <w:bCs/>
          <w:szCs w:val="21"/>
        </w:rPr>
      </w:pPr>
    </w:p>
    <w:p w14:paraId="08C98449">
      <w:pPr>
        <w:ind w:firstLine="0" w:firstLineChars="0"/>
        <w:rPr>
          <w:rFonts w:ascii="仿宋_GB2312" w:hAnsi="仿宋_GB2312" w:eastAsia="仿宋_GB2312" w:cs="仿宋_GB2312"/>
          <w:sz w:val="28"/>
          <w:szCs w:val="28"/>
        </w:rPr>
      </w:pPr>
    </w:p>
    <w:p w14:paraId="6A205776">
      <w:pPr>
        <w:ind w:firstLine="0" w:firstLineChars="0"/>
        <w:rPr>
          <w:rFonts w:ascii="仿宋_GB2312" w:hAnsi="仿宋_GB2312" w:eastAsia="仿宋_GB2312" w:cs="仿宋_GB2312"/>
          <w:sz w:val="28"/>
          <w:szCs w:val="28"/>
        </w:rPr>
      </w:pPr>
    </w:p>
    <w:p w14:paraId="46FDA933">
      <w:pPr>
        <w:ind w:firstLine="0" w:firstLineChars="0"/>
        <w:rPr>
          <w:rFonts w:ascii="仿宋_GB2312" w:hAnsi="仿宋_GB2312" w:eastAsia="仿宋_GB2312" w:cs="仿宋_GB2312"/>
          <w:sz w:val="28"/>
          <w:szCs w:val="28"/>
        </w:rPr>
      </w:pPr>
    </w:p>
    <w:p w14:paraId="5CE01DF8">
      <w:pPr>
        <w:widowControl/>
        <w:spacing w:line="500" w:lineRule="exact"/>
        <w:ind w:firstLine="0" w:firstLineChars="0"/>
        <w:jc w:val="left"/>
        <w:rPr>
          <w:rFonts w:ascii="宋体" w:hAnsi="宋体" w:cs="宋体"/>
          <w:sz w:val="24"/>
        </w:rPr>
      </w:pPr>
      <w:r>
        <w:rPr>
          <w:rFonts w:hint="eastAsia" w:ascii="宋体" w:hAnsi="宋体" w:cs="宋体"/>
          <w:sz w:val="24"/>
        </w:rPr>
        <w:t>附件7</w:t>
      </w:r>
    </w:p>
    <w:p w14:paraId="7DB4AAE8">
      <w:pPr>
        <w:autoSpaceDE w:val="0"/>
        <w:autoSpaceDN w:val="0"/>
        <w:spacing w:line="500" w:lineRule="exact"/>
        <w:ind w:firstLine="720"/>
        <w:jc w:val="center"/>
        <w:rPr>
          <w:rFonts w:ascii="仿宋" w:hAnsi="仿宋" w:eastAsia="仿宋" w:cs="仿宋"/>
          <w:b/>
          <w:bCs/>
          <w:sz w:val="36"/>
          <w:szCs w:val="36"/>
        </w:rPr>
      </w:pPr>
      <w:r>
        <w:rPr>
          <w:rFonts w:hint="eastAsia" w:ascii="方正小标宋简体" w:hAnsi="方正小标宋简体" w:eastAsia="方正小标宋简体" w:cs="方正小标宋简体"/>
          <w:sz w:val="36"/>
          <w:szCs w:val="36"/>
        </w:rPr>
        <w:t>相关方环境保护管理协议</w:t>
      </w:r>
    </w:p>
    <w:p w14:paraId="71E81DDF">
      <w:pPr>
        <w:pStyle w:val="76"/>
        <w:adjustRightInd w:val="0"/>
        <w:snapToGrid w:val="0"/>
        <w:spacing w:line="480" w:lineRule="exact"/>
        <w:rPr>
          <w:rFonts w:ascii="宋体" w:hAnsi="宋体" w:eastAsia="宋体" w:cs="宋体"/>
          <w:color w:val="auto"/>
          <w:lang w:val="zh-TW" w:eastAsia="zh-TW"/>
        </w:rPr>
      </w:pPr>
      <w:r>
        <w:rPr>
          <w:rFonts w:hint="eastAsia" w:ascii="宋体" w:hAnsi="宋体" w:eastAsia="宋体" w:cs="宋体"/>
          <w:color w:val="auto"/>
          <w:lang w:val="zh-TW" w:eastAsia="zh-TW"/>
        </w:rPr>
        <w:t xml:space="preserve">甲方：温州金洋集装箱码头有限公司（以下简称甲方） </w:t>
      </w:r>
    </w:p>
    <w:p w14:paraId="0B91B426">
      <w:pPr>
        <w:pStyle w:val="76"/>
        <w:adjustRightInd w:val="0"/>
        <w:snapToGrid w:val="0"/>
        <w:spacing w:line="480" w:lineRule="exact"/>
        <w:rPr>
          <w:rFonts w:ascii="宋体" w:hAnsi="宋体" w:eastAsia="宋体" w:cs="宋体"/>
          <w:color w:val="auto"/>
          <w:lang w:val="zh-TW" w:eastAsia="zh-TW"/>
        </w:rPr>
      </w:pPr>
      <w:r>
        <w:rPr>
          <w:rFonts w:hint="eastAsia" w:ascii="宋体" w:hAnsi="宋体" w:eastAsia="宋体" w:cs="宋体"/>
          <w:color w:val="auto"/>
          <w:lang w:val="zh-TW" w:eastAsia="zh-TW"/>
        </w:rPr>
        <w:t>乙方：</w:t>
      </w:r>
      <w:r>
        <w:rPr>
          <w:rFonts w:hint="eastAsia" w:ascii="宋体" w:hAnsi="宋体" w:eastAsia="宋体" w:cs="宋体"/>
          <w:color w:val="auto"/>
          <w:lang w:val="zh-TW" w:eastAsia="zh-TW"/>
        </w:rPr>
        <w:tab/>
      </w:r>
      <w:r>
        <w:rPr>
          <w:rFonts w:hint="eastAsia" w:ascii="宋体" w:hAnsi="宋体" w:eastAsia="宋体" w:cs="宋体"/>
          <w:color w:val="auto"/>
        </w:rPr>
        <w:t xml:space="preserve">                       </w:t>
      </w:r>
      <w:r>
        <w:rPr>
          <w:rFonts w:hint="eastAsia" w:ascii="宋体" w:hAnsi="宋体" w:eastAsia="宋体" w:cs="宋体"/>
          <w:color w:val="auto"/>
          <w:lang w:val="zh-TW" w:eastAsia="zh-TW"/>
        </w:rPr>
        <w:t>（以下简称乙方）</w:t>
      </w:r>
    </w:p>
    <w:p w14:paraId="1AC41664">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为了加强乙方在甲方港区期间的环境保护管理，使甲方和乙方更好地履行相关社会责任，现根据《环境保护法》</w:t>
      </w:r>
      <w:r>
        <w:rPr>
          <w:rFonts w:hint="eastAsia" w:ascii="宋体" w:hAnsi="宋体" w:eastAsia="宋体" w:cs="宋体"/>
          <w:color w:val="auto"/>
          <w:lang w:val="zh-TW"/>
        </w:rPr>
        <w:t>《</w:t>
      </w:r>
      <w:r>
        <w:rPr>
          <w:rFonts w:hint="eastAsia" w:ascii="宋体" w:hAnsi="宋体" w:eastAsia="宋体" w:cs="宋体"/>
          <w:color w:val="auto"/>
        </w:rPr>
        <w:t>水污染防治法</w:t>
      </w:r>
      <w:r>
        <w:rPr>
          <w:rFonts w:hint="eastAsia" w:ascii="宋体" w:hAnsi="宋体" w:eastAsia="宋体" w:cs="宋体"/>
          <w:color w:val="auto"/>
          <w:lang w:val="zh-TW"/>
        </w:rPr>
        <w:t>》《</w:t>
      </w:r>
      <w:r>
        <w:rPr>
          <w:rFonts w:hint="eastAsia" w:ascii="宋体" w:hAnsi="宋体" w:eastAsia="宋体" w:cs="宋体"/>
          <w:color w:val="auto"/>
          <w:lang w:val="zh-TW" w:eastAsia="zh-TW"/>
        </w:rPr>
        <w:t>大气污染防治法</w:t>
      </w:r>
      <w:r>
        <w:rPr>
          <w:rFonts w:hint="eastAsia" w:ascii="宋体" w:hAnsi="宋体" w:eastAsia="宋体" w:cs="宋体"/>
          <w:color w:val="auto"/>
          <w:lang w:val="zh-TW"/>
        </w:rPr>
        <w:t>》《</w:t>
      </w:r>
      <w:r>
        <w:rPr>
          <w:rFonts w:hint="eastAsia" w:ascii="宋体" w:hAnsi="宋体" w:eastAsia="宋体" w:cs="宋体"/>
          <w:color w:val="auto"/>
          <w:lang w:val="zh-TW" w:eastAsia="zh-TW"/>
        </w:rPr>
        <w:t>固体废物污染环境防治法</w:t>
      </w:r>
      <w:r>
        <w:rPr>
          <w:rFonts w:hint="eastAsia" w:ascii="宋体" w:hAnsi="宋体" w:eastAsia="宋体" w:cs="宋体"/>
          <w:color w:val="auto"/>
          <w:lang w:val="zh-TW"/>
        </w:rPr>
        <w:t>》</w:t>
      </w:r>
      <w:r>
        <w:rPr>
          <w:rFonts w:hint="eastAsia" w:ascii="宋体" w:hAnsi="宋体" w:eastAsia="宋体" w:cs="宋体"/>
          <w:color w:val="auto"/>
        </w:rPr>
        <w:t>等</w:t>
      </w:r>
      <w:r>
        <w:rPr>
          <w:rFonts w:hint="eastAsia" w:ascii="宋体" w:hAnsi="宋体" w:eastAsia="宋体" w:cs="宋体"/>
          <w:color w:val="auto"/>
          <w:lang w:val="zh-TW" w:eastAsia="zh-TW"/>
        </w:rPr>
        <w:t>法律法规,经甲乙双方协商一致</w:t>
      </w:r>
      <w:r>
        <w:rPr>
          <w:rFonts w:hint="eastAsia" w:ascii="宋体" w:hAnsi="宋体" w:eastAsia="宋体" w:cs="宋体"/>
          <w:color w:val="auto"/>
          <w:lang w:val="zh-TW"/>
        </w:rPr>
        <w:t>，</w:t>
      </w:r>
      <w:r>
        <w:rPr>
          <w:rFonts w:hint="eastAsia" w:ascii="宋体" w:hAnsi="宋体" w:eastAsia="宋体" w:cs="宋体"/>
          <w:color w:val="auto"/>
          <w:lang w:val="zh-TW" w:eastAsia="zh-TW"/>
        </w:rPr>
        <w:t>同意签订本协议。</w:t>
      </w:r>
    </w:p>
    <w:p w14:paraId="478922EB">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一、甲方的环境保护管理职责</w:t>
      </w:r>
    </w:p>
    <w:p w14:paraId="1F723FC2">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1、</w:t>
      </w:r>
      <w:r>
        <w:rPr>
          <w:rFonts w:hint="eastAsia" w:ascii="宋体" w:hAnsi="宋体" w:eastAsia="宋体" w:cs="宋体"/>
          <w:color w:val="auto"/>
          <w:lang w:val="zh-TW" w:eastAsia="zh-TW"/>
        </w:rPr>
        <w:t>对乙方进行日常的环境保护</w:t>
      </w:r>
      <w:r>
        <w:rPr>
          <w:rFonts w:hint="eastAsia" w:ascii="宋体" w:hAnsi="宋体" w:eastAsia="宋体" w:cs="宋体"/>
          <w:color w:val="auto"/>
        </w:rPr>
        <w:t>落实情况</w:t>
      </w:r>
      <w:r>
        <w:rPr>
          <w:rFonts w:hint="eastAsia" w:ascii="宋体" w:hAnsi="宋体" w:eastAsia="宋体" w:cs="宋体"/>
          <w:color w:val="auto"/>
          <w:lang w:val="zh-TW" w:eastAsia="zh-TW"/>
        </w:rPr>
        <w:t>监督，发现问题及时处置。</w:t>
      </w:r>
    </w:p>
    <w:p w14:paraId="00A41B82">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2、</w:t>
      </w:r>
      <w:r>
        <w:rPr>
          <w:rFonts w:hint="eastAsia" w:ascii="宋体" w:hAnsi="宋体" w:eastAsia="宋体" w:cs="宋体"/>
          <w:color w:val="auto"/>
          <w:lang w:val="zh-TW" w:eastAsia="zh-TW"/>
        </w:rPr>
        <w:t>对</w:t>
      </w:r>
      <w:r>
        <w:rPr>
          <w:rFonts w:hint="eastAsia" w:ascii="宋体" w:hAnsi="宋体" w:eastAsia="宋体" w:cs="宋体"/>
          <w:color w:val="auto"/>
        </w:rPr>
        <w:t>政府部门、上级部门</w:t>
      </w:r>
      <w:r>
        <w:rPr>
          <w:rFonts w:hint="eastAsia" w:ascii="宋体" w:hAnsi="宋体" w:eastAsia="宋体" w:cs="宋体"/>
          <w:color w:val="auto"/>
          <w:lang w:val="zh-TW" w:eastAsia="zh-TW"/>
        </w:rPr>
        <w:t>等相关机构检查发现的</w:t>
      </w:r>
      <w:r>
        <w:rPr>
          <w:rFonts w:hint="eastAsia" w:ascii="宋体" w:hAnsi="宋体" w:eastAsia="宋体" w:cs="宋体"/>
          <w:color w:val="auto"/>
        </w:rPr>
        <w:t>乙方</w:t>
      </w:r>
      <w:r>
        <w:rPr>
          <w:rFonts w:hint="eastAsia" w:ascii="宋体" w:hAnsi="宋体" w:eastAsia="宋体" w:cs="宋体"/>
          <w:color w:val="auto"/>
          <w:lang w:val="zh-TW" w:eastAsia="zh-TW"/>
        </w:rPr>
        <w:t>违反环境保护法律法规行为,按照环境保护管理职责督促乙方落实整改。</w:t>
      </w:r>
    </w:p>
    <w:p w14:paraId="2059E5ED">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发现乙方存在违反环境保护法律法规行为时,及时督促乙方整改,并及时向所在地的环保相关部门报告。</w:t>
      </w:r>
    </w:p>
    <w:p w14:paraId="35801A32">
      <w:pPr>
        <w:pStyle w:val="76"/>
        <w:adjustRightInd w:val="0"/>
        <w:snapToGrid w:val="0"/>
        <w:spacing w:line="480" w:lineRule="exact"/>
        <w:ind w:firstLine="422" w:firstLineChars="200"/>
        <w:rPr>
          <w:rFonts w:ascii="宋体" w:hAnsi="宋体" w:eastAsia="宋体" w:cs="宋体"/>
          <w:color w:val="auto"/>
          <w:lang w:val="zh-TW" w:eastAsia="zh-TW"/>
        </w:rPr>
      </w:pPr>
      <w:r>
        <w:rPr>
          <w:rFonts w:hint="eastAsia" w:ascii="宋体" w:hAnsi="宋体" w:eastAsia="宋体" w:cs="宋体"/>
          <w:b/>
          <w:bCs/>
          <w:color w:val="auto"/>
        </w:rPr>
        <w:t>4、甲方在第一条的履行情况，任何情况下，不得成为乙方减轻或免除乙方责任的理由，也不得成为甲方承担或分担安全方面责任的理由。</w:t>
      </w:r>
    </w:p>
    <w:p w14:paraId="0AC4C64A">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二、乙方的环境保护管理职责</w:t>
      </w:r>
    </w:p>
    <w:p w14:paraId="294F978B">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1、乙方在甲方港区期间，应遵守国家和地方环保法规及各项环保政策的要求，严格执行甲方在环境保护管理体系文件中的各项要求，并对存在的违反环境保护法律法规行为及时进行整改、达标。</w:t>
      </w:r>
    </w:p>
    <w:p w14:paraId="3E8497E6">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乙方应尽量减少废物产生，严禁在甲方所辖物业内乱扔垃圾，废弃物应按照甲方的要求进行分类，并投入到相应的垃圾桶内。为了尽可能的减少对环境的危害，鼓励大量使用可再回收利用且对环境无危害的环保型包装材料，</w:t>
      </w:r>
      <w:r>
        <w:rPr>
          <w:rFonts w:hint="eastAsia" w:ascii="宋体" w:hAnsi="宋体" w:eastAsia="宋体" w:cs="宋体"/>
          <w:color w:val="auto"/>
        </w:rPr>
        <w:t>作业</w:t>
      </w:r>
      <w:r>
        <w:rPr>
          <w:rFonts w:hint="eastAsia" w:ascii="宋体" w:hAnsi="宋体" w:eastAsia="宋体" w:cs="宋体"/>
          <w:color w:val="auto"/>
          <w:lang w:val="zh-TW" w:eastAsia="zh-TW"/>
        </w:rPr>
        <w:t>完毕后应对被污染的工作现场进行及时清洁，保持环境洁净度。</w:t>
      </w:r>
    </w:p>
    <w:p w14:paraId="714ED01A">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乙方应对工作中可能产生的废气和噪音加以有效地控制，对于进入甲方港区内的机动车辆应尽快就位停泊、及时关闭引擎、并禁止在港区内鸣笛，尽可能地减少在甲方港区内排放废气、产生噪音，以降低对环境的污染。</w:t>
      </w:r>
    </w:p>
    <w:p w14:paraId="40C49DCF">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4、根据环境管理的要求，乙方应对易燃、易爆、有毒、有害、有污染及有放射性等的危险物品加以严格、规范化管理，对存储危险物品的容器及空间张贴危险警示标志、做好相应的防护措施，并对使用中要注意的特别事项进行明确说明：同时应对使用危险物品过程中可能或经常发生的情况明确告知甲方。</w:t>
      </w:r>
    </w:p>
    <w:p w14:paraId="1A14B050">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5</w:t>
      </w:r>
      <w:r>
        <w:rPr>
          <w:rFonts w:hint="eastAsia" w:ascii="宋体" w:hAnsi="宋体" w:eastAsia="宋体" w:cs="宋体"/>
          <w:color w:val="auto"/>
          <w:lang w:val="zh-TW" w:eastAsia="zh-TW"/>
        </w:rPr>
        <w:t>、乙方应对使用甲方场地的日常清洁卫生负责，并履行“门前三包”职责，保持周边的良好公共环境。</w:t>
      </w:r>
    </w:p>
    <w:p w14:paraId="41120CE2">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6</w:t>
      </w:r>
      <w:r>
        <w:rPr>
          <w:rFonts w:hint="eastAsia" w:ascii="宋体" w:hAnsi="宋体" w:eastAsia="宋体" w:cs="宋体"/>
          <w:color w:val="auto"/>
          <w:lang w:val="zh-TW" w:eastAsia="zh-TW"/>
        </w:rPr>
        <w:t>、禁止出现高空抛物的现象，违规者将按</w:t>
      </w:r>
      <w:r>
        <w:rPr>
          <w:rFonts w:hint="eastAsia" w:ascii="宋体" w:hAnsi="宋体" w:eastAsia="宋体" w:cs="宋体"/>
          <w:color w:val="auto"/>
        </w:rPr>
        <w:t>国家、省市、地方</w:t>
      </w:r>
      <w:r>
        <w:rPr>
          <w:rFonts w:hint="eastAsia" w:ascii="宋体" w:hAnsi="宋体" w:eastAsia="宋体" w:cs="宋体"/>
          <w:color w:val="auto"/>
          <w:lang w:val="zh-TW" w:eastAsia="zh-TW"/>
        </w:rPr>
        <w:t>的有关规定严惩，并承担相关责任。</w:t>
      </w:r>
    </w:p>
    <w:p w14:paraId="0799C410">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7</w:t>
      </w:r>
      <w:r>
        <w:rPr>
          <w:rFonts w:hint="eastAsia" w:ascii="宋体" w:hAnsi="宋体" w:eastAsia="宋体" w:cs="宋体"/>
          <w:color w:val="auto"/>
          <w:lang w:val="zh-TW" w:eastAsia="zh-TW"/>
        </w:rPr>
        <w:t>、合理地使用日常资源（如水电气等），应做到人员离开后随手关闭电源开关（或阀门），做到既节约能源、又确保安全。</w:t>
      </w:r>
    </w:p>
    <w:p w14:paraId="45E4A9B7">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8</w:t>
      </w:r>
      <w:r>
        <w:rPr>
          <w:rFonts w:hint="eastAsia" w:ascii="宋体" w:hAnsi="宋体" w:eastAsia="宋体" w:cs="宋体"/>
          <w:color w:val="auto"/>
          <w:lang w:val="zh-TW" w:eastAsia="zh-TW"/>
        </w:rPr>
        <w:t>、加强对危险作业（如高空作业、动火作业、临水作业、有限空间等）的控制，采用必要的防护措施，确保工作人员及周边环境的安全；作业前与作业期间应配备必要的防护用品、悬挂相应的警示标识等；进行危险作业前需向甲方履行相关申报手续。</w:t>
      </w:r>
    </w:p>
    <w:p w14:paraId="3A8AD8A6">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9</w:t>
      </w:r>
      <w:r>
        <w:rPr>
          <w:rFonts w:hint="eastAsia" w:ascii="宋体" w:hAnsi="宋体" w:eastAsia="宋体" w:cs="宋体"/>
          <w:color w:val="auto"/>
          <w:lang w:val="zh-TW" w:eastAsia="zh-TW"/>
        </w:rPr>
        <w:t>、对于乙方在港区内出现不符合环境保护管理要求的，甲方将有权对不符合项进行</w:t>
      </w:r>
      <w:r>
        <w:rPr>
          <w:rFonts w:hint="eastAsia" w:ascii="宋体" w:hAnsi="宋体" w:eastAsia="宋体" w:cs="宋体"/>
          <w:color w:val="auto"/>
        </w:rPr>
        <w:t>督查、</w:t>
      </w:r>
      <w:r>
        <w:rPr>
          <w:rFonts w:hint="eastAsia" w:ascii="宋体" w:hAnsi="宋体" w:eastAsia="宋体" w:cs="宋体"/>
          <w:color w:val="auto"/>
          <w:lang w:val="zh-TW" w:eastAsia="zh-TW"/>
        </w:rPr>
        <w:t>记录，并给予相关的整改意见；对于严重不合格事项而又未及时采取措施改正的，甲方将有权发出《整改通知书》要求限期整改；对于置之不理者，甲方将给予乙方停水停电处理，情节严重的，</w:t>
      </w:r>
      <w:r>
        <w:rPr>
          <w:rFonts w:hint="eastAsia" w:ascii="宋体" w:hAnsi="宋体" w:eastAsia="宋体" w:cs="宋体"/>
          <w:color w:val="auto"/>
        </w:rPr>
        <w:t>要求</w:t>
      </w:r>
      <w:r>
        <w:rPr>
          <w:rFonts w:hint="eastAsia" w:ascii="宋体" w:hAnsi="宋体" w:eastAsia="宋体" w:cs="宋体"/>
          <w:color w:val="auto"/>
          <w:lang w:val="zh-TW" w:eastAsia="zh-TW"/>
        </w:rPr>
        <w:t>乙方</w:t>
      </w:r>
      <w:r>
        <w:rPr>
          <w:rFonts w:hint="eastAsia" w:ascii="宋体" w:hAnsi="宋体" w:eastAsia="宋体" w:cs="宋体"/>
          <w:color w:val="auto"/>
        </w:rPr>
        <w:t>立即停止作业，</w:t>
      </w:r>
      <w:r>
        <w:rPr>
          <w:rFonts w:hint="eastAsia" w:ascii="宋体" w:hAnsi="宋体" w:eastAsia="宋体" w:cs="宋体"/>
          <w:color w:val="auto"/>
          <w:lang w:val="zh-TW" w:eastAsia="zh-TW"/>
        </w:rPr>
        <w:t>按双方《主合同》总价款的20%向甲方支付违约金，违约金不足以弥补甲方损失的，乙方还应赔偿乙方损失。</w:t>
      </w:r>
    </w:p>
    <w:p w14:paraId="33390595">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w:t>
      </w:r>
      <w:r>
        <w:rPr>
          <w:rFonts w:hint="eastAsia" w:ascii="宋体" w:hAnsi="宋体" w:eastAsia="宋体" w:cs="宋体"/>
          <w:color w:val="auto"/>
        </w:rPr>
        <w:t>0</w:t>
      </w:r>
      <w:r>
        <w:rPr>
          <w:rFonts w:hint="eastAsia" w:ascii="宋体" w:hAnsi="宋体" w:eastAsia="宋体" w:cs="宋体"/>
          <w:color w:val="auto"/>
          <w:lang w:val="zh-TW" w:eastAsia="zh-TW"/>
        </w:rPr>
        <w:t>、乙方应努力配合甲方开展环境管理工作，在实施过程中，乙方有责任协同甲方进行环境保护管理控制；乙方应对所属员工开展相关的培训与教育工作，努力提高员工的环保意识。</w:t>
      </w:r>
    </w:p>
    <w:p w14:paraId="6CABE9C8">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w:t>
      </w:r>
      <w:r>
        <w:rPr>
          <w:rFonts w:hint="eastAsia" w:ascii="宋体" w:hAnsi="宋体" w:eastAsia="宋体" w:cs="宋体"/>
          <w:color w:val="auto"/>
        </w:rPr>
        <w:t>1</w:t>
      </w:r>
      <w:r>
        <w:rPr>
          <w:rFonts w:hint="eastAsia" w:ascii="宋体" w:hAnsi="宋体" w:eastAsia="宋体" w:cs="宋体"/>
          <w:color w:val="auto"/>
          <w:lang w:val="zh-TW" w:eastAsia="zh-TW"/>
        </w:rPr>
        <w:t>、协议双方应努力创造</w:t>
      </w:r>
      <w:r>
        <w:rPr>
          <w:rFonts w:hint="eastAsia" w:ascii="宋体" w:hAnsi="宋体" w:eastAsia="宋体" w:cs="宋体"/>
          <w:color w:val="auto"/>
        </w:rPr>
        <w:t>良好的环境</w:t>
      </w:r>
      <w:r>
        <w:rPr>
          <w:rFonts w:hint="eastAsia" w:ascii="宋体" w:hAnsi="宋体" w:eastAsia="宋体" w:cs="宋体"/>
          <w:color w:val="auto"/>
          <w:lang w:val="zh-TW" w:eastAsia="zh-TW"/>
        </w:rPr>
        <w:t>条件，通过多元参与、加强交流的方式共同推进</w:t>
      </w:r>
      <w:r>
        <w:rPr>
          <w:rFonts w:hint="eastAsia" w:ascii="宋体" w:hAnsi="宋体" w:eastAsia="宋体" w:cs="宋体"/>
          <w:color w:val="auto"/>
        </w:rPr>
        <w:t>环境保护</w:t>
      </w:r>
      <w:r>
        <w:rPr>
          <w:rFonts w:hint="eastAsia" w:ascii="宋体" w:hAnsi="宋体" w:eastAsia="宋体" w:cs="宋体"/>
          <w:color w:val="auto"/>
          <w:lang w:val="zh-TW" w:eastAsia="zh-TW"/>
        </w:rPr>
        <w:t>工作。</w:t>
      </w:r>
    </w:p>
    <w:p w14:paraId="1A11804D">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三、乙方发生环保事故或被环保部门处罚的，由乙方自行承担法律责任，如因此导致甲方承担责任的，甲方有权向乙方追偿。</w:t>
      </w:r>
    </w:p>
    <w:p w14:paraId="6352B623">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四</w:t>
      </w:r>
      <w:r>
        <w:rPr>
          <w:rFonts w:hint="eastAsia" w:ascii="宋体" w:hAnsi="宋体" w:eastAsia="宋体" w:cs="宋体"/>
          <w:color w:val="auto"/>
          <w:lang w:val="zh-TW" w:eastAsia="zh-TW"/>
        </w:rPr>
        <w:t>、本协议有效期与甲乙双方签订的《主合同》</w:t>
      </w:r>
      <w:r>
        <w:rPr>
          <w:rFonts w:hint="eastAsia" w:ascii="宋体" w:hAnsi="宋体" w:eastAsia="宋体" w:cs="宋体"/>
          <w:color w:val="auto"/>
        </w:rPr>
        <w:t>时间</w:t>
      </w:r>
      <w:r>
        <w:rPr>
          <w:rFonts w:hint="eastAsia" w:ascii="宋体" w:hAnsi="宋体" w:eastAsia="宋体" w:cs="宋体"/>
          <w:color w:val="auto"/>
          <w:lang w:val="zh-TW" w:eastAsia="zh-TW"/>
        </w:rPr>
        <w:t>一致，无《主合同》的，在签署当年有效。</w:t>
      </w:r>
    </w:p>
    <w:p w14:paraId="71AD981A">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五</w:t>
      </w:r>
      <w:r>
        <w:rPr>
          <w:rFonts w:hint="eastAsia" w:ascii="宋体" w:hAnsi="宋体" w:eastAsia="宋体" w:cs="宋体"/>
          <w:color w:val="auto"/>
          <w:lang w:val="zh-TW" w:eastAsia="zh-TW"/>
        </w:rPr>
        <w:t>、本协议一式二份，甲、乙双方各执一份。</w:t>
      </w:r>
    </w:p>
    <w:p w14:paraId="13C94522">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甲方代表（签字盖章）：</w:t>
      </w:r>
      <w:r>
        <w:rPr>
          <w:rFonts w:hint="eastAsia" w:ascii="宋体" w:hAnsi="宋体" w:eastAsia="宋体" w:cs="宋体"/>
          <w:color w:val="auto"/>
          <w:lang w:val="zh-TW" w:eastAsia="zh-TW"/>
        </w:rPr>
        <w:tab/>
      </w:r>
      <w:r>
        <w:rPr>
          <w:rFonts w:hint="eastAsia" w:ascii="宋体" w:hAnsi="宋体" w:eastAsia="宋体" w:cs="宋体"/>
          <w:color w:val="auto"/>
          <w:lang w:val="zh-TW" w:eastAsia="zh-TW"/>
        </w:rPr>
        <w:tab/>
      </w:r>
      <w:r>
        <w:rPr>
          <w:rFonts w:hint="eastAsia" w:ascii="宋体" w:hAnsi="宋体" w:eastAsia="宋体" w:cs="宋体"/>
          <w:color w:val="auto"/>
          <w:lang w:val="zh-TW" w:eastAsia="zh-TW"/>
        </w:rPr>
        <w:t xml:space="preserve">乙方代表（签字盖章）： </w:t>
      </w:r>
    </w:p>
    <w:p w14:paraId="5A43574C">
      <w:pPr>
        <w:pStyle w:val="76"/>
        <w:adjustRightInd w:val="0"/>
        <w:snapToGrid w:val="0"/>
        <w:spacing w:line="48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联系电话：</w:t>
      </w:r>
      <w:r>
        <w:rPr>
          <w:rFonts w:hint="eastAsia" w:ascii="宋体" w:hAnsi="宋体" w:eastAsia="宋体" w:cs="宋体"/>
          <w:color w:val="auto"/>
        </w:rPr>
        <w:t xml:space="preserve">                 </w:t>
      </w:r>
      <w:r>
        <w:rPr>
          <w:rFonts w:hint="eastAsia" w:ascii="宋体" w:hAnsi="宋体" w:eastAsia="宋体" w:cs="宋体"/>
          <w:color w:val="auto"/>
          <w:lang w:val="zh-TW" w:eastAsia="zh-TW"/>
        </w:rPr>
        <w:tab/>
      </w:r>
      <w:r>
        <w:rPr>
          <w:rFonts w:hint="eastAsia" w:ascii="宋体" w:hAnsi="宋体" w:eastAsia="宋体" w:cs="宋体"/>
          <w:color w:val="auto"/>
          <w:lang w:val="zh-TW" w:eastAsia="zh-TW"/>
        </w:rPr>
        <w:t>联系电话：</w:t>
      </w:r>
    </w:p>
    <w:p w14:paraId="084AF5EC">
      <w:pPr>
        <w:pStyle w:val="76"/>
        <w:adjustRightInd w:val="0"/>
        <w:snapToGrid w:val="0"/>
        <w:spacing w:line="480" w:lineRule="exact"/>
        <w:ind w:firstLine="5880" w:firstLineChars="2800"/>
        <w:rPr>
          <w:rFonts w:ascii="宋体" w:hAnsi="宋体" w:eastAsia="宋体" w:cs="宋体"/>
          <w:color w:val="auto"/>
          <w:lang w:val="zh-TW" w:eastAsia="zh-TW"/>
        </w:rPr>
      </w:pPr>
      <w:r>
        <w:rPr>
          <w:rFonts w:hint="eastAsia" w:ascii="宋体" w:hAnsi="宋体" w:eastAsia="宋体" w:cs="宋体"/>
          <w:color w:val="auto"/>
          <w:lang w:val="zh-TW" w:eastAsia="zh-TW"/>
        </w:rPr>
        <w:t>年</w:t>
      </w:r>
      <w:r>
        <w:rPr>
          <w:rFonts w:hint="eastAsia" w:ascii="宋体" w:hAnsi="宋体" w:eastAsia="宋体" w:cs="宋体"/>
          <w:color w:val="auto"/>
          <w:lang w:val="zh-TW" w:eastAsia="zh-TW"/>
        </w:rPr>
        <w:tab/>
      </w:r>
      <w:r>
        <w:rPr>
          <w:rFonts w:hint="eastAsia" w:ascii="宋体" w:hAnsi="宋体" w:eastAsia="宋体" w:cs="宋体"/>
          <w:color w:val="auto"/>
          <w:lang w:val="zh-TW" w:eastAsia="zh-TW"/>
        </w:rPr>
        <w:t>月</w:t>
      </w:r>
      <w:r>
        <w:rPr>
          <w:rFonts w:hint="eastAsia" w:ascii="宋体" w:hAnsi="宋体" w:eastAsia="宋体" w:cs="宋体"/>
          <w:color w:val="auto"/>
        </w:rPr>
        <w:t xml:space="preserve"> </w:t>
      </w:r>
      <w:r>
        <w:rPr>
          <w:rFonts w:hint="eastAsia" w:ascii="宋体" w:hAnsi="宋体" w:eastAsia="宋体" w:cs="宋体"/>
          <w:color w:val="auto"/>
          <w:lang w:val="zh-TW" w:eastAsia="zh-TW"/>
        </w:rPr>
        <w:tab/>
      </w:r>
      <w:r>
        <w:rPr>
          <w:rFonts w:hint="eastAsia" w:ascii="宋体" w:hAnsi="宋体" w:eastAsia="宋体" w:cs="宋体"/>
          <w:color w:val="auto"/>
          <w:lang w:val="zh-TW" w:eastAsia="zh-TW"/>
        </w:rPr>
        <w:t>日</w:t>
      </w:r>
    </w:p>
    <w:p w14:paraId="214E9B47">
      <w:pPr>
        <w:spacing w:line="500" w:lineRule="exact"/>
        <w:ind w:firstLine="0" w:firstLineChars="0"/>
        <w:rPr>
          <w:rFonts w:ascii="宋体" w:hAnsi="宋体" w:cs="宋体"/>
          <w:sz w:val="24"/>
        </w:rPr>
      </w:pPr>
      <w:r>
        <w:rPr>
          <w:rFonts w:hint="eastAsia" w:ascii="宋体" w:hAnsi="宋体" w:cs="宋体"/>
          <w:sz w:val="24"/>
        </w:rPr>
        <w:t>附件8</w:t>
      </w:r>
    </w:p>
    <w:p w14:paraId="58FB1197">
      <w:pPr>
        <w:autoSpaceDE w:val="0"/>
        <w:autoSpaceDN w:val="0"/>
        <w:spacing w:line="50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相关方消防安全协议书</w:t>
      </w:r>
    </w:p>
    <w:p w14:paraId="0830DABE">
      <w:pPr>
        <w:pStyle w:val="76"/>
        <w:adjustRightInd w:val="0"/>
        <w:snapToGrid w:val="0"/>
        <w:spacing w:line="500" w:lineRule="exact"/>
        <w:rPr>
          <w:rFonts w:ascii="宋体" w:hAnsi="宋体" w:eastAsia="宋体" w:cs="宋体"/>
          <w:color w:val="auto"/>
          <w:lang w:val="zh-TW" w:eastAsia="zh-TW"/>
        </w:rPr>
      </w:pPr>
      <w:r>
        <w:rPr>
          <w:rFonts w:hint="eastAsia" w:ascii="宋体" w:hAnsi="宋体" w:eastAsia="宋体" w:cs="宋体"/>
          <w:color w:val="auto"/>
          <w:lang w:val="zh-TW" w:eastAsia="zh-TW"/>
        </w:rPr>
        <w:t>甲方：</w:t>
      </w:r>
      <w:r>
        <w:rPr>
          <w:rFonts w:hint="eastAsia" w:ascii="宋体" w:hAnsi="宋体" w:eastAsia="宋体" w:cs="宋体"/>
          <w:color w:val="auto"/>
          <w:lang w:val="zh-CN"/>
        </w:rPr>
        <w:t>温州金洋集装箱码头有限公司</w:t>
      </w:r>
      <w:r>
        <w:rPr>
          <w:rFonts w:hint="eastAsia" w:ascii="宋体" w:hAnsi="宋体" w:eastAsia="宋体" w:cs="宋体"/>
          <w:color w:val="auto"/>
          <w:lang w:val="zh-TW" w:eastAsia="zh-TW"/>
        </w:rPr>
        <w:t xml:space="preserve"> （以下简称甲方） </w:t>
      </w:r>
    </w:p>
    <w:p w14:paraId="39272C9C">
      <w:pPr>
        <w:pStyle w:val="76"/>
        <w:adjustRightInd w:val="0"/>
        <w:snapToGrid w:val="0"/>
        <w:spacing w:line="500" w:lineRule="exact"/>
        <w:rPr>
          <w:rFonts w:ascii="宋体" w:hAnsi="宋体" w:eastAsia="宋体" w:cs="宋体"/>
          <w:color w:val="auto"/>
          <w:lang w:val="zh-TW" w:eastAsia="zh-TW"/>
        </w:rPr>
      </w:pPr>
      <w:r>
        <w:rPr>
          <w:rFonts w:hint="eastAsia" w:ascii="宋体" w:hAnsi="宋体" w:eastAsia="宋体" w:cs="宋体"/>
          <w:color w:val="auto"/>
          <w:lang w:val="zh-TW" w:eastAsia="zh-TW"/>
        </w:rPr>
        <w:t>乙方：</w:t>
      </w:r>
      <w:r>
        <w:rPr>
          <w:rFonts w:hint="eastAsia" w:ascii="宋体" w:hAnsi="宋体" w:eastAsia="宋体" w:cs="宋体"/>
          <w:color w:val="auto"/>
          <w:lang w:val="zh-TW" w:eastAsia="zh-TW"/>
        </w:rPr>
        <w:tab/>
      </w:r>
      <w:r>
        <w:rPr>
          <w:rFonts w:hint="eastAsia" w:ascii="宋体" w:hAnsi="宋体" w:eastAsia="宋体" w:cs="宋体"/>
          <w:color w:val="auto"/>
        </w:rPr>
        <w:t xml:space="preserve">                        </w:t>
      </w:r>
      <w:r>
        <w:rPr>
          <w:rFonts w:hint="eastAsia" w:ascii="宋体" w:hAnsi="宋体" w:eastAsia="宋体" w:cs="宋体"/>
          <w:color w:val="auto"/>
          <w:lang w:val="zh-TW" w:eastAsia="zh-TW"/>
        </w:rPr>
        <w:t>（以下简称乙方）</w:t>
      </w:r>
    </w:p>
    <w:p w14:paraId="0BD528D2">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为贯彻落实“预防为主，防消结合”方针，确保港区消防安全，杜绝与防止火灾事故的发生，根据《中华人民共和国消防法》《中华人民共和国安全生产法》等法律法规的相关规定，经双方友好协商一致签订本协议，具体条款</w:t>
      </w:r>
      <w:r>
        <w:rPr>
          <w:rFonts w:hint="eastAsia" w:ascii="宋体" w:hAnsi="宋体" w:eastAsia="宋体" w:cs="宋体"/>
          <w:color w:val="auto"/>
        </w:rPr>
        <w:t>内容</w:t>
      </w:r>
      <w:r>
        <w:rPr>
          <w:rFonts w:hint="eastAsia" w:ascii="宋体" w:hAnsi="宋体" w:eastAsia="宋体" w:cs="宋体"/>
          <w:color w:val="auto"/>
          <w:lang w:val="zh-TW" w:eastAsia="zh-TW"/>
        </w:rPr>
        <w:t>如下：</w:t>
      </w:r>
    </w:p>
    <w:p w14:paraId="5884F54A">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一、甲方的权利和责任</w:t>
      </w:r>
    </w:p>
    <w:p w14:paraId="1842E18C">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1、负责本港区消防安全防范的组织工作，定期开展消防安全知识宣传和消防逃生演习活动，定期安排防火检查，对发现的火灾隐患及时整改，涉及乙方的积极</w:t>
      </w:r>
      <w:r>
        <w:rPr>
          <w:rFonts w:hint="eastAsia" w:ascii="宋体" w:hAnsi="宋体" w:eastAsia="宋体" w:cs="宋体"/>
          <w:color w:val="auto"/>
        </w:rPr>
        <w:t>要</w:t>
      </w:r>
      <w:r>
        <w:rPr>
          <w:rFonts w:hint="eastAsia" w:ascii="宋体" w:hAnsi="宋体" w:eastAsia="宋体" w:cs="宋体"/>
          <w:color w:val="auto"/>
          <w:lang w:val="zh-TW" w:eastAsia="zh-TW"/>
        </w:rPr>
        <w:t>予以配合。</w:t>
      </w:r>
    </w:p>
    <w:p w14:paraId="2635B4E8">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2、负责本港区公共消防设施设备的管理维护工作，监督乙方贯彻执行各项消防管理规定和落实责任区域内的消防管控措施。</w:t>
      </w:r>
    </w:p>
    <w:p w14:paraId="7F1D71CD">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3、发生火警时，紧急情况下甲方有权根据火情采取应急措施，不必征得乙方同意，依据事实再追究乙方责任。</w:t>
      </w:r>
    </w:p>
    <w:p w14:paraId="4FE2A55A">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4、甲方应及时传达有关部门、上级最新消防安全文件与工作要求，并在公共区域提供基本的消防设施保障。</w:t>
      </w:r>
    </w:p>
    <w:p w14:paraId="096D2BF4">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5、甲方在第一条的履行情况，任何情况下，不得成为乙方减轻或免除乙方责任的理由，也不得成为甲方承担或分担安全方面责任的理由。</w:t>
      </w:r>
    </w:p>
    <w:p w14:paraId="523DF63F">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二、乙方的权利和责任</w:t>
      </w:r>
    </w:p>
    <w:p w14:paraId="20AD0182">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1、乙方要自觉接受甲方的监督与管理，落实安全防火措施，预防火灾和遏制火灾危害。</w:t>
      </w:r>
    </w:p>
    <w:p w14:paraId="3A8EBDBD">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2、乙方法人代表对责任区域的消防安全工作负有全部责任，并制定相关措施，确保消防安全。</w:t>
      </w:r>
    </w:p>
    <w:p w14:paraId="05047F05">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、严禁设备、仪器带病作业。</w:t>
      </w:r>
    </w:p>
    <w:p w14:paraId="0559163F">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4</w:t>
      </w:r>
      <w:r>
        <w:rPr>
          <w:rFonts w:hint="eastAsia" w:ascii="宋体" w:hAnsi="宋体" w:eastAsia="宋体" w:cs="宋体"/>
          <w:color w:val="auto"/>
          <w:lang w:val="zh-TW" w:eastAsia="zh-TW"/>
        </w:rPr>
        <w:t>、乙方对临时有需要动用明火需求的，需持相关特种作业证复印件、身份证复印件报甲方批准，在具备防范措施的情况下，方可使用。</w:t>
      </w:r>
    </w:p>
    <w:p w14:paraId="40C6218F">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5</w:t>
      </w:r>
      <w:r>
        <w:rPr>
          <w:rFonts w:hint="eastAsia" w:ascii="宋体" w:hAnsi="宋体" w:eastAsia="宋体" w:cs="宋体"/>
          <w:color w:val="auto"/>
          <w:lang w:val="zh-TW" w:eastAsia="zh-TW"/>
        </w:rPr>
        <w:t>、乙方在使用易燃易爆及其它危险品时，必须提前向甲方申报备案，未经批准，禁止使用和存放。</w:t>
      </w:r>
    </w:p>
    <w:p w14:paraId="0A459653">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6</w:t>
      </w:r>
      <w:r>
        <w:rPr>
          <w:rFonts w:hint="eastAsia" w:ascii="宋体" w:hAnsi="宋体" w:eastAsia="宋体" w:cs="宋体"/>
          <w:color w:val="auto"/>
          <w:lang w:val="zh-TW" w:eastAsia="zh-TW"/>
        </w:rPr>
        <w:t>、乙方应制定消防安全规章制度和火灾事故处置预案，在进入甲方现场服务前要对其作业人员进行消防安全防范意识、消防安全规章制度教育，组织乙方员工进行火灾事故处置演习，使其掌握消防安全注意事项、熟悉消防器材的性能及使用方法，掌握熟悉火灾安全事故处置流程和消防应急措施等。</w:t>
      </w:r>
    </w:p>
    <w:p w14:paraId="2671B079">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7</w:t>
      </w:r>
      <w:r>
        <w:rPr>
          <w:rFonts w:hint="eastAsia" w:ascii="宋体" w:hAnsi="宋体" w:eastAsia="宋体" w:cs="宋体"/>
          <w:color w:val="auto"/>
          <w:lang w:val="zh-TW" w:eastAsia="zh-TW"/>
        </w:rPr>
        <w:t>、乙方要加强对现场的监管，生产、施工场所禁止吸烟。</w:t>
      </w:r>
    </w:p>
    <w:p w14:paraId="5DAC4162">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8</w:t>
      </w:r>
      <w:r>
        <w:rPr>
          <w:rFonts w:hint="eastAsia" w:ascii="宋体" w:hAnsi="宋体" w:eastAsia="宋体" w:cs="宋体"/>
          <w:color w:val="auto"/>
          <w:lang w:val="zh-TW" w:eastAsia="zh-TW"/>
        </w:rPr>
        <w:t>、凡违反本规定或国家相关规定而引起火灾或其它事故，一切责任及经济赔偿由乙方负责，与甲方无涉。因乙方未尽消防安全义务和责任导致甲方损失的，乙方应赔偿甲方损失。</w:t>
      </w:r>
    </w:p>
    <w:p w14:paraId="2328CF19">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三、本协议有效期与甲乙双方签订的《主合同》一致，无《主合同》的，在签署当年有效。</w:t>
      </w:r>
    </w:p>
    <w:p w14:paraId="4C8A97FE">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四、本协议书一式二份，甲乙双方各执一份。</w:t>
      </w:r>
    </w:p>
    <w:p w14:paraId="622AE393">
      <w:pPr>
        <w:pStyle w:val="76"/>
        <w:adjustRightInd w:val="0"/>
        <w:snapToGrid w:val="0"/>
        <w:spacing w:line="500" w:lineRule="exact"/>
        <w:ind w:firstLine="420" w:firstLineChars="200"/>
        <w:rPr>
          <w:rFonts w:ascii="宋体" w:hAnsi="宋体" w:eastAsia="宋体" w:cs="宋体"/>
          <w:color w:val="auto"/>
          <w:lang w:val="zh-TW" w:eastAsia="zh-TW"/>
        </w:rPr>
      </w:pPr>
    </w:p>
    <w:p w14:paraId="766EC52A">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甲方代表（签字盖章）：</w:t>
      </w:r>
      <w:r>
        <w:rPr>
          <w:rFonts w:hint="eastAsia" w:ascii="宋体" w:hAnsi="宋体" w:eastAsia="宋体" w:cs="宋体"/>
          <w:color w:val="auto"/>
        </w:rPr>
        <w:t xml:space="preserve">                </w:t>
      </w:r>
      <w:r>
        <w:rPr>
          <w:rFonts w:hint="eastAsia" w:ascii="宋体" w:hAnsi="宋体" w:eastAsia="宋体" w:cs="宋体"/>
          <w:color w:val="auto"/>
          <w:lang w:val="zh-TW" w:eastAsia="zh-TW"/>
        </w:rPr>
        <w:t>乙方代表（签字盖章）：</w:t>
      </w:r>
    </w:p>
    <w:p w14:paraId="32B8F825">
      <w:pPr>
        <w:pStyle w:val="76"/>
        <w:adjustRightInd w:val="0"/>
        <w:snapToGrid w:val="0"/>
        <w:spacing w:line="50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联系电话：</w:t>
      </w:r>
      <w:r>
        <w:rPr>
          <w:rFonts w:hint="eastAsia" w:ascii="宋体" w:hAnsi="宋体" w:eastAsia="宋体" w:cs="宋体"/>
          <w:color w:val="auto"/>
        </w:rPr>
        <w:t xml:space="preserve">                            </w:t>
      </w:r>
      <w:r>
        <w:rPr>
          <w:rFonts w:hint="eastAsia" w:ascii="宋体" w:hAnsi="宋体" w:eastAsia="宋体" w:cs="宋体"/>
          <w:color w:val="auto"/>
          <w:lang w:val="zh-TW" w:eastAsia="zh-TW"/>
        </w:rPr>
        <w:t>联系电话：</w:t>
      </w:r>
    </w:p>
    <w:p w14:paraId="363FEFB9">
      <w:pPr>
        <w:pStyle w:val="76"/>
        <w:adjustRightInd w:val="0"/>
        <w:snapToGrid w:val="0"/>
        <w:spacing w:line="500" w:lineRule="exact"/>
        <w:ind w:firstLine="420" w:firstLineChars="200"/>
        <w:rPr>
          <w:rFonts w:ascii="宋体" w:hAnsi="宋体" w:eastAsia="宋体" w:cs="宋体"/>
          <w:color w:val="auto"/>
          <w:lang w:val="zh-TW" w:eastAsia="zh-TW"/>
        </w:rPr>
      </w:pPr>
    </w:p>
    <w:p w14:paraId="5183C065">
      <w:pPr>
        <w:pStyle w:val="76"/>
        <w:adjustRightInd w:val="0"/>
        <w:snapToGrid w:val="0"/>
        <w:spacing w:line="50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年</w:t>
      </w:r>
      <w:r>
        <w:rPr>
          <w:rFonts w:hint="eastAsia" w:ascii="宋体" w:hAnsi="宋体" w:eastAsia="宋体" w:cs="宋体"/>
          <w:color w:val="auto"/>
          <w:lang w:val="zh-TW" w:eastAsia="zh-TW"/>
        </w:rPr>
        <w:tab/>
      </w:r>
      <w:r>
        <w:rPr>
          <w:rFonts w:hint="eastAsia" w:ascii="宋体" w:hAnsi="宋体" w:eastAsia="宋体" w:cs="宋体"/>
          <w:color w:val="auto"/>
          <w:lang w:val="zh-TW" w:eastAsia="zh-TW"/>
        </w:rPr>
        <w:t>月</w:t>
      </w:r>
      <w:r>
        <w:rPr>
          <w:rFonts w:hint="eastAsia" w:ascii="宋体" w:hAnsi="宋体" w:eastAsia="宋体" w:cs="宋体"/>
          <w:color w:val="auto"/>
        </w:rPr>
        <w:t xml:space="preserve"> </w:t>
      </w:r>
      <w:r>
        <w:rPr>
          <w:rFonts w:hint="eastAsia" w:ascii="宋体" w:hAnsi="宋体" w:eastAsia="宋体" w:cs="宋体"/>
          <w:color w:val="auto"/>
          <w:lang w:val="zh-TW" w:eastAsia="zh-TW"/>
        </w:rPr>
        <w:tab/>
      </w:r>
      <w:r>
        <w:rPr>
          <w:rFonts w:hint="eastAsia" w:ascii="宋体" w:hAnsi="宋体" w:eastAsia="宋体" w:cs="宋体"/>
          <w:color w:val="auto"/>
          <w:lang w:val="zh-TW" w:eastAsia="zh-TW"/>
        </w:rPr>
        <w:t>日</w:t>
      </w:r>
    </w:p>
    <w:p w14:paraId="37D7933B">
      <w:pPr>
        <w:pStyle w:val="75"/>
        <w:ind w:firstLine="480"/>
      </w:pPr>
    </w:p>
    <w:p w14:paraId="506D5582">
      <w:pPr>
        <w:adjustRightInd w:val="0"/>
        <w:snapToGrid w:val="0"/>
        <w:spacing w:line="288" w:lineRule="auto"/>
        <w:ind w:firstLine="0" w:firstLineChars="0"/>
        <w:rPr>
          <w:rFonts w:ascii="宋体" w:hAnsi="宋体" w:cs="宋体"/>
          <w:sz w:val="24"/>
          <w:lang w:val="zh-TW" w:eastAsia="zh-TW"/>
        </w:rPr>
      </w:pPr>
    </w:p>
    <w:p w14:paraId="20185C4C">
      <w:pPr>
        <w:adjustRightInd w:val="0"/>
        <w:snapToGrid w:val="0"/>
        <w:spacing w:line="288" w:lineRule="auto"/>
        <w:ind w:firstLine="0" w:firstLineChars="0"/>
        <w:rPr>
          <w:rFonts w:ascii="宋体" w:hAnsi="宋体" w:cs="宋体"/>
          <w:sz w:val="24"/>
          <w:lang w:val="zh-TW" w:eastAsia="zh-TW"/>
        </w:rPr>
      </w:pPr>
    </w:p>
    <w:p w14:paraId="401479A3">
      <w:pPr>
        <w:adjustRightInd w:val="0"/>
        <w:snapToGrid w:val="0"/>
        <w:spacing w:line="288" w:lineRule="auto"/>
        <w:ind w:firstLine="0" w:firstLineChars="0"/>
        <w:rPr>
          <w:rFonts w:ascii="宋体" w:hAnsi="宋体" w:cs="宋体"/>
          <w:sz w:val="24"/>
          <w:lang w:val="zh-TW" w:eastAsia="zh-TW"/>
        </w:rPr>
      </w:pPr>
    </w:p>
    <w:p w14:paraId="11A23FE3">
      <w:pPr>
        <w:adjustRightInd w:val="0"/>
        <w:snapToGrid w:val="0"/>
        <w:spacing w:line="288" w:lineRule="auto"/>
        <w:ind w:firstLine="0" w:firstLineChars="0"/>
        <w:rPr>
          <w:rFonts w:ascii="宋体" w:hAnsi="宋体" w:cs="宋体"/>
          <w:sz w:val="24"/>
          <w:lang w:val="zh-TW" w:eastAsia="zh-TW"/>
        </w:rPr>
      </w:pPr>
    </w:p>
    <w:p w14:paraId="13DCABB7">
      <w:pPr>
        <w:adjustRightInd w:val="0"/>
        <w:snapToGrid w:val="0"/>
        <w:spacing w:line="288" w:lineRule="auto"/>
        <w:ind w:firstLine="0" w:firstLineChars="0"/>
        <w:rPr>
          <w:rFonts w:ascii="宋体" w:hAnsi="宋体" w:cs="宋体"/>
          <w:sz w:val="24"/>
          <w:lang w:val="zh-TW" w:eastAsia="zh-TW"/>
        </w:rPr>
      </w:pPr>
    </w:p>
    <w:p w14:paraId="5403ABB5">
      <w:pPr>
        <w:adjustRightInd w:val="0"/>
        <w:snapToGrid w:val="0"/>
        <w:spacing w:line="288" w:lineRule="auto"/>
        <w:ind w:firstLine="0" w:firstLineChars="0"/>
        <w:rPr>
          <w:rFonts w:ascii="宋体" w:hAnsi="宋体" w:cs="宋体"/>
          <w:sz w:val="24"/>
          <w:lang w:val="zh-TW" w:eastAsia="zh-TW"/>
        </w:rPr>
      </w:pPr>
    </w:p>
    <w:p w14:paraId="091479E4">
      <w:pPr>
        <w:adjustRightInd w:val="0"/>
        <w:snapToGrid w:val="0"/>
        <w:spacing w:line="288" w:lineRule="auto"/>
        <w:ind w:firstLine="0" w:firstLineChars="0"/>
        <w:rPr>
          <w:rFonts w:ascii="宋体" w:hAnsi="宋体" w:cs="宋体"/>
          <w:sz w:val="24"/>
          <w:lang w:val="zh-TW" w:eastAsia="zh-TW"/>
        </w:rPr>
      </w:pPr>
    </w:p>
    <w:p w14:paraId="7DBA4BA8">
      <w:pPr>
        <w:adjustRightInd w:val="0"/>
        <w:snapToGrid w:val="0"/>
        <w:spacing w:line="288" w:lineRule="auto"/>
        <w:ind w:firstLine="0" w:firstLineChars="0"/>
        <w:rPr>
          <w:rFonts w:ascii="宋体" w:hAnsi="宋体" w:cs="宋体"/>
          <w:sz w:val="24"/>
          <w:lang w:val="zh-TW" w:eastAsia="zh-TW"/>
        </w:rPr>
      </w:pPr>
    </w:p>
    <w:p w14:paraId="36B3E534">
      <w:pPr>
        <w:adjustRightInd w:val="0"/>
        <w:snapToGrid w:val="0"/>
        <w:spacing w:line="288" w:lineRule="auto"/>
        <w:ind w:firstLine="0" w:firstLineChars="0"/>
        <w:rPr>
          <w:rFonts w:ascii="宋体" w:hAnsi="宋体" w:cs="宋体"/>
          <w:sz w:val="24"/>
          <w:lang w:val="zh-TW" w:eastAsia="zh-TW"/>
        </w:rPr>
      </w:pPr>
    </w:p>
    <w:p w14:paraId="1630EF6A">
      <w:pPr>
        <w:adjustRightInd w:val="0"/>
        <w:snapToGrid w:val="0"/>
        <w:spacing w:line="288" w:lineRule="auto"/>
        <w:ind w:firstLine="0" w:firstLineChars="0"/>
        <w:rPr>
          <w:rFonts w:ascii="宋体" w:hAnsi="宋体" w:cs="宋体"/>
          <w:sz w:val="24"/>
          <w:lang w:val="zh-TW" w:eastAsia="zh-TW"/>
        </w:rPr>
      </w:pPr>
    </w:p>
    <w:p w14:paraId="2F8381E0">
      <w:pPr>
        <w:adjustRightInd w:val="0"/>
        <w:snapToGrid w:val="0"/>
        <w:spacing w:line="288" w:lineRule="auto"/>
        <w:ind w:firstLine="0" w:firstLineChars="0"/>
        <w:rPr>
          <w:rFonts w:ascii="宋体" w:hAnsi="宋体" w:cs="宋体"/>
          <w:sz w:val="24"/>
          <w:lang w:val="zh-TW" w:eastAsia="zh-TW"/>
        </w:rPr>
      </w:pPr>
    </w:p>
    <w:p w14:paraId="038B17AE">
      <w:pPr>
        <w:adjustRightInd w:val="0"/>
        <w:snapToGrid w:val="0"/>
        <w:spacing w:line="288" w:lineRule="auto"/>
        <w:ind w:firstLine="0" w:firstLineChars="0"/>
        <w:rPr>
          <w:rFonts w:ascii="宋体" w:hAnsi="宋体" w:cs="宋体"/>
          <w:sz w:val="24"/>
          <w:lang w:val="zh-TW" w:eastAsia="zh-TW"/>
        </w:rPr>
      </w:pPr>
    </w:p>
    <w:p w14:paraId="32516414">
      <w:pPr>
        <w:adjustRightInd w:val="0"/>
        <w:snapToGrid w:val="0"/>
        <w:spacing w:line="288" w:lineRule="auto"/>
        <w:ind w:firstLine="0" w:firstLineChars="0"/>
        <w:rPr>
          <w:rFonts w:ascii="宋体" w:hAnsi="宋体" w:cs="宋体"/>
          <w:sz w:val="24"/>
          <w:lang w:val="zh-TW" w:eastAsia="zh-TW"/>
        </w:rPr>
      </w:pPr>
    </w:p>
    <w:p w14:paraId="36A8CD2F">
      <w:pPr>
        <w:adjustRightInd w:val="0"/>
        <w:snapToGrid w:val="0"/>
        <w:spacing w:line="288" w:lineRule="auto"/>
        <w:ind w:firstLine="0" w:firstLineChars="0"/>
        <w:rPr>
          <w:rFonts w:ascii="宋体" w:hAnsi="宋体" w:cs="宋体"/>
          <w:sz w:val="24"/>
          <w:lang w:val="zh-TW" w:eastAsia="zh-TW"/>
        </w:rPr>
      </w:pPr>
    </w:p>
    <w:p w14:paraId="08990638">
      <w:pPr>
        <w:adjustRightInd w:val="0"/>
        <w:snapToGrid w:val="0"/>
        <w:spacing w:line="288" w:lineRule="auto"/>
        <w:ind w:firstLine="0" w:firstLineChars="0"/>
        <w:rPr>
          <w:rFonts w:ascii="宋体" w:hAnsi="宋体" w:cs="宋体"/>
          <w:sz w:val="24"/>
          <w:lang w:val="zh-TW" w:eastAsia="zh-TW"/>
        </w:rPr>
      </w:pPr>
    </w:p>
    <w:p w14:paraId="342D08D5">
      <w:pPr>
        <w:adjustRightInd w:val="0"/>
        <w:snapToGrid w:val="0"/>
        <w:spacing w:line="288" w:lineRule="auto"/>
        <w:ind w:firstLine="0" w:firstLineChars="0"/>
        <w:rPr>
          <w:rFonts w:ascii="宋体" w:hAnsi="宋体" w:cs="宋体"/>
          <w:sz w:val="24"/>
          <w:lang w:val="zh-TW" w:eastAsia="zh-TW"/>
        </w:rPr>
      </w:pPr>
    </w:p>
    <w:p w14:paraId="2EFDAD0E">
      <w:pPr>
        <w:adjustRightInd w:val="0"/>
        <w:snapToGrid w:val="0"/>
        <w:spacing w:line="288" w:lineRule="auto"/>
        <w:ind w:firstLine="0" w:firstLineChars="0"/>
        <w:rPr>
          <w:rFonts w:ascii="宋体" w:hAnsi="宋体" w:cs="宋体"/>
          <w:sz w:val="24"/>
          <w:lang w:val="zh-TW"/>
        </w:rPr>
      </w:pPr>
      <w:r>
        <w:rPr>
          <w:rFonts w:hint="eastAsia" w:ascii="宋体" w:hAnsi="宋体" w:cs="宋体"/>
          <w:sz w:val="24"/>
          <w:lang w:val="zh-TW" w:eastAsia="zh-TW"/>
        </w:rPr>
        <w:t>附件</w:t>
      </w:r>
      <w:r>
        <w:rPr>
          <w:rFonts w:hint="eastAsia" w:ascii="宋体" w:hAnsi="宋体" w:cs="宋体"/>
          <w:sz w:val="24"/>
        </w:rPr>
        <w:t>9</w:t>
      </w:r>
    </w:p>
    <w:p w14:paraId="5FD745F4">
      <w:pPr>
        <w:ind w:firstLine="0" w:firstLineChars="0"/>
        <w:rPr>
          <w:rFonts w:ascii="宋体" w:hAnsi="宋体"/>
          <w:b/>
          <w:sz w:val="24"/>
        </w:rPr>
      </w:pPr>
    </w:p>
    <w:p w14:paraId="484EF501">
      <w:pPr>
        <w:ind w:firstLine="0" w:firstLineChars="0"/>
        <w:jc w:val="center"/>
        <w:rPr>
          <w:rFonts w:ascii="宋体" w:hAnsi="宋体" w:cs="宋体"/>
          <w:b/>
          <w:szCs w:val="21"/>
          <w:u w:val="single"/>
        </w:rPr>
      </w:pPr>
      <w:r>
        <w:rPr>
          <w:rFonts w:hint="eastAsia" w:ascii="宋体" w:hAnsi="宋体" w:cs="宋体"/>
          <w:b/>
          <w:szCs w:val="21"/>
        </w:rPr>
        <w:t xml:space="preserve">                                             甲方协议编号：</w:t>
      </w:r>
      <w:r>
        <w:rPr>
          <w:rFonts w:hint="eastAsia" w:ascii="宋体" w:hAnsi="宋体" w:cs="宋体"/>
          <w:b/>
          <w:szCs w:val="21"/>
          <w:u w:val="single"/>
        </w:rPr>
        <w:t xml:space="preserve">   </w:t>
      </w:r>
    </w:p>
    <w:p w14:paraId="365BB668">
      <w:pPr>
        <w:spacing w:after="120"/>
        <w:ind w:left="420" w:leftChars="200" w:firstLine="420"/>
      </w:pPr>
    </w:p>
    <w:p w14:paraId="04D548BC">
      <w:pPr>
        <w:ind w:firstLine="0" w:firstLineChars="0"/>
        <w:jc w:val="center"/>
        <w:rPr>
          <w:rFonts w:ascii="宋体" w:hAnsi="宋体"/>
          <w:b/>
          <w:color w:val="000000"/>
          <w:sz w:val="36"/>
          <w:szCs w:val="36"/>
        </w:rPr>
      </w:pPr>
      <w:r>
        <w:rPr>
          <w:rFonts w:hint="eastAsia" w:ascii="宋体" w:hAnsi="宋体"/>
          <w:b/>
          <w:color w:val="000000"/>
          <w:sz w:val="36"/>
          <w:szCs w:val="36"/>
        </w:rPr>
        <w:t>保密协议</w:t>
      </w:r>
    </w:p>
    <w:p w14:paraId="224D0C12">
      <w:pPr>
        <w:spacing w:line="400" w:lineRule="exact"/>
        <w:ind w:firstLine="0" w:firstLineChars="0"/>
        <w:jc w:val="left"/>
        <w:rPr>
          <w:rFonts w:ascii="宋体" w:hAnsi="宋体" w:cs="宋体"/>
          <w:bCs/>
          <w:szCs w:val="21"/>
        </w:rPr>
      </w:pPr>
      <w:r>
        <w:rPr>
          <w:rFonts w:hint="eastAsia" w:ascii="宋体" w:hAnsi="宋体" w:cs="宋体"/>
          <w:b/>
          <w:kern w:val="0"/>
          <w:szCs w:val="21"/>
        </w:rPr>
        <w:t xml:space="preserve">甲方： </w:t>
      </w:r>
    </w:p>
    <w:p w14:paraId="16B30073">
      <w:pPr>
        <w:spacing w:line="400" w:lineRule="exact"/>
        <w:ind w:firstLine="0" w:firstLineChars="0"/>
        <w:jc w:val="left"/>
        <w:rPr>
          <w:rFonts w:ascii="宋体" w:hAnsi="宋体" w:cs="宋体"/>
          <w:bCs/>
          <w:kern w:val="0"/>
          <w:szCs w:val="21"/>
        </w:rPr>
      </w:pPr>
      <w:r>
        <w:rPr>
          <w:rFonts w:hint="eastAsia" w:ascii="宋体" w:hAnsi="宋体" w:cs="宋体"/>
          <w:bCs/>
          <w:kern w:val="0"/>
          <w:szCs w:val="21"/>
        </w:rPr>
        <w:t xml:space="preserve">地址：               </w:t>
      </w:r>
    </w:p>
    <w:p w14:paraId="5F087143">
      <w:pPr>
        <w:spacing w:line="400" w:lineRule="exact"/>
        <w:ind w:firstLine="0" w:firstLineChars="0"/>
        <w:jc w:val="left"/>
        <w:rPr>
          <w:rFonts w:ascii="宋体" w:hAnsi="宋体" w:cs="宋体"/>
          <w:bCs/>
          <w:kern w:val="0"/>
          <w:szCs w:val="21"/>
        </w:rPr>
      </w:pPr>
      <w:r>
        <w:rPr>
          <w:rFonts w:hint="eastAsia" w:ascii="宋体" w:hAnsi="宋体" w:cs="宋体"/>
          <w:bCs/>
          <w:kern w:val="0"/>
          <w:szCs w:val="21"/>
        </w:rPr>
        <w:t xml:space="preserve">联系人：        电话：               </w:t>
      </w:r>
    </w:p>
    <w:p w14:paraId="0E2FB653">
      <w:pPr>
        <w:spacing w:line="400" w:lineRule="exact"/>
        <w:ind w:firstLine="0" w:firstLineChars="0"/>
        <w:jc w:val="left"/>
        <w:rPr>
          <w:rFonts w:ascii="宋体" w:hAnsi="宋体" w:cs="宋体"/>
          <w:bCs/>
          <w:kern w:val="0"/>
          <w:szCs w:val="21"/>
        </w:rPr>
      </w:pPr>
      <w:r>
        <w:rPr>
          <w:rFonts w:hint="eastAsia" w:ascii="宋体" w:hAnsi="宋体" w:cs="宋体"/>
          <w:bCs/>
          <w:kern w:val="0"/>
          <w:szCs w:val="21"/>
        </w:rPr>
        <w:t xml:space="preserve">电子邮件：                                      </w:t>
      </w:r>
    </w:p>
    <w:p w14:paraId="352F6057">
      <w:pPr>
        <w:spacing w:line="400" w:lineRule="exact"/>
        <w:ind w:firstLine="0" w:firstLineChars="0"/>
        <w:rPr>
          <w:rFonts w:ascii="宋体" w:hAnsi="宋体" w:cs="宋体"/>
          <w:bCs/>
          <w:szCs w:val="21"/>
        </w:rPr>
      </w:pPr>
      <w:r>
        <w:rPr>
          <w:rFonts w:hint="eastAsia" w:ascii="宋体" w:hAnsi="宋体" w:cs="宋体"/>
          <w:b/>
          <w:szCs w:val="21"/>
        </w:rPr>
        <w:t>乙方：</w:t>
      </w:r>
      <w:r>
        <w:rPr>
          <w:rFonts w:hint="eastAsia" w:ascii="宋体" w:hAnsi="宋体" w:cs="宋体"/>
          <w:bCs/>
          <w:szCs w:val="21"/>
        </w:rPr>
        <w:t xml:space="preserve"> </w:t>
      </w:r>
    </w:p>
    <w:p w14:paraId="3FFB8E29">
      <w:pPr>
        <w:spacing w:line="400" w:lineRule="exact"/>
        <w:ind w:firstLine="0" w:firstLineChars="0"/>
        <w:jc w:val="left"/>
        <w:rPr>
          <w:rFonts w:ascii="宋体" w:hAnsi="宋体" w:cs="宋体"/>
          <w:bCs/>
          <w:kern w:val="0"/>
          <w:szCs w:val="21"/>
        </w:rPr>
      </w:pPr>
      <w:r>
        <w:rPr>
          <w:rFonts w:hint="eastAsia" w:ascii="宋体" w:hAnsi="宋体" w:cs="宋体"/>
          <w:bCs/>
          <w:kern w:val="0"/>
          <w:szCs w:val="21"/>
        </w:rPr>
        <w:t xml:space="preserve">地址：               </w:t>
      </w:r>
    </w:p>
    <w:p w14:paraId="1ECBA034">
      <w:pPr>
        <w:spacing w:line="400" w:lineRule="exact"/>
        <w:ind w:firstLine="0" w:firstLineChars="0"/>
        <w:jc w:val="left"/>
        <w:rPr>
          <w:rFonts w:ascii="宋体" w:hAnsi="宋体" w:cs="宋体"/>
          <w:bCs/>
          <w:kern w:val="0"/>
          <w:szCs w:val="21"/>
        </w:rPr>
      </w:pPr>
      <w:r>
        <w:rPr>
          <w:rFonts w:hint="eastAsia" w:ascii="宋体" w:hAnsi="宋体" w:cs="宋体"/>
          <w:bCs/>
          <w:kern w:val="0"/>
          <w:szCs w:val="21"/>
        </w:rPr>
        <w:t xml:space="preserve">联系人：        电话：               </w:t>
      </w:r>
    </w:p>
    <w:p w14:paraId="224C9E91">
      <w:pPr>
        <w:spacing w:line="400" w:lineRule="exact"/>
        <w:ind w:firstLine="0" w:firstLineChars="0"/>
        <w:jc w:val="left"/>
        <w:rPr>
          <w:rFonts w:ascii="宋体" w:hAnsi="宋体" w:cs="宋体"/>
          <w:bCs/>
          <w:kern w:val="0"/>
          <w:szCs w:val="21"/>
        </w:rPr>
      </w:pPr>
      <w:r>
        <w:rPr>
          <w:rFonts w:hint="eastAsia" w:ascii="宋体" w:hAnsi="宋体" w:cs="宋体"/>
          <w:bCs/>
          <w:kern w:val="0"/>
          <w:szCs w:val="21"/>
        </w:rPr>
        <w:t xml:space="preserve">电子邮件：  </w:t>
      </w:r>
    </w:p>
    <w:p w14:paraId="0CBD96CF">
      <w:pPr>
        <w:spacing w:line="400" w:lineRule="exact"/>
        <w:ind w:firstLine="0" w:firstLineChars="0"/>
        <w:rPr>
          <w:rFonts w:ascii="宋体" w:hAnsi="宋体" w:cs="宋体"/>
          <w:color w:val="000000"/>
          <w:szCs w:val="21"/>
        </w:rPr>
      </w:pPr>
      <w:r>
        <w:rPr>
          <w:rFonts w:hint="eastAsia" w:ascii="宋体" w:hAnsi="宋体" w:cs="宋体"/>
          <w:color w:val="000000"/>
          <w:szCs w:val="21"/>
        </w:rPr>
        <w:t xml:space="preserve">     </w:t>
      </w:r>
    </w:p>
    <w:p w14:paraId="173CA1C3">
      <w:pPr>
        <w:spacing w:line="400" w:lineRule="exact"/>
        <w:ind w:firstLine="435" w:firstLineChars="0"/>
        <w:jc w:val="left"/>
        <w:rPr>
          <w:rFonts w:ascii="宋体" w:hAnsi="宋体" w:cs="宋体"/>
          <w:szCs w:val="21"/>
        </w:rPr>
      </w:pPr>
      <w:r>
        <w:rPr>
          <w:rFonts w:hint="eastAsia" w:ascii="宋体" w:hAnsi="宋体" w:cs="宋体"/>
          <w:szCs w:val="21"/>
        </w:rPr>
        <w:t>甲乙双方之间拟开展</w:t>
      </w:r>
      <w:r>
        <w:rPr>
          <w:rFonts w:hint="eastAsia" w:ascii="宋体" w:hAnsi="宋体" w:cs="宋体"/>
          <w:szCs w:val="21"/>
          <w:u w:val="single"/>
        </w:rPr>
        <w:t xml:space="preserve">                       </w:t>
      </w:r>
      <w:r>
        <w:rPr>
          <w:rFonts w:hint="eastAsia" w:ascii="宋体" w:hAnsi="宋体" w:cs="宋体"/>
          <w:szCs w:val="21"/>
        </w:rPr>
        <w:t>项目合作（且已经签订了合同编号为【         】的</w:t>
      </w:r>
      <w:r>
        <w:rPr>
          <w:rFonts w:hint="eastAsia" w:ascii="宋体" w:hAnsi="宋体" w:cs="宋体"/>
          <w:szCs w:val="21"/>
          <w:u w:val="single"/>
        </w:rPr>
        <w:t xml:space="preserve">                      </w:t>
      </w:r>
      <w:r>
        <w:rPr>
          <w:rFonts w:hint="eastAsia" w:ascii="宋体" w:hAnsi="宋体" w:cs="宋体"/>
          <w:szCs w:val="21"/>
        </w:rPr>
        <w:t>合同，（简称“主合同”），合同一方（以下称“披露方”）将向另一方（以下称“接收方”）披露相关信息或提供相关资料（以下简称“保密信息”），为了加强保密信息保护，防止因保密信息泄露给披露方造成不利影响和/或经济损失，经双方协商一致，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日在</w:t>
      </w:r>
      <w:r>
        <w:rPr>
          <w:rFonts w:hint="eastAsia" w:ascii="宋体" w:hAnsi="宋体" w:cs="宋体"/>
          <w:szCs w:val="21"/>
          <w:u w:val="single"/>
        </w:rPr>
        <w:t xml:space="preserve">  </w:t>
      </w:r>
      <w:r>
        <w:rPr>
          <w:rFonts w:hint="eastAsia" w:ascii="宋体" w:hAnsi="宋体" w:cs="宋体"/>
          <w:szCs w:val="21"/>
        </w:rPr>
        <w:t>省</w:t>
      </w:r>
      <w:r>
        <w:rPr>
          <w:rFonts w:hint="eastAsia" w:ascii="宋体" w:hAnsi="宋体" w:cs="宋体"/>
          <w:szCs w:val="21"/>
          <w:u w:val="single"/>
        </w:rPr>
        <w:t xml:space="preserve">  </w:t>
      </w:r>
      <w:r>
        <w:rPr>
          <w:rFonts w:hint="eastAsia" w:ascii="宋体" w:hAnsi="宋体" w:cs="宋体"/>
          <w:szCs w:val="21"/>
        </w:rPr>
        <w:t>市</w:t>
      </w:r>
      <w:r>
        <w:rPr>
          <w:rFonts w:hint="eastAsia" w:ascii="宋体" w:hAnsi="宋体" w:cs="宋体"/>
          <w:szCs w:val="21"/>
          <w:u w:val="single"/>
        </w:rPr>
        <w:t xml:space="preserve">  </w:t>
      </w:r>
      <w:r>
        <w:rPr>
          <w:rFonts w:hint="eastAsia" w:ascii="宋体" w:hAnsi="宋体" w:cs="宋体"/>
          <w:szCs w:val="21"/>
        </w:rPr>
        <w:t>区（县）订立本协议。</w:t>
      </w:r>
    </w:p>
    <w:p w14:paraId="38C13BBF">
      <w:pPr>
        <w:spacing w:line="400" w:lineRule="exact"/>
        <w:ind w:firstLine="413" w:firstLineChars="196"/>
        <w:jc w:val="left"/>
        <w:rPr>
          <w:rFonts w:ascii="宋体" w:hAnsi="宋体" w:cs="宋体"/>
          <w:b/>
          <w:kern w:val="0"/>
          <w:szCs w:val="21"/>
        </w:rPr>
      </w:pPr>
      <w:r>
        <w:rPr>
          <w:rFonts w:hint="eastAsia" w:ascii="宋体" w:hAnsi="宋体" w:cs="宋体"/>
          <w:b/>
          <w:kern w:val="0"/>
          <w:szCs w:val="21"/>
        </w:rPr>
        <w:t>1.保密主体</w:t>
      </w:r>
    </w:p>
    <w:p w14:paraId="51AEF55E">
      <w:pPr>
        <w:spacing w:line="400" w:lineRule="exact"/>
        <w:ind w:firstLine="420"/>
        <w:rPr>
          <w:rFonts w:ascii="宋体" w:hAnsi="宋体" w:cs="宋体"/>
          <w:szCs w:val="21"/>
        </w:rPr>
      </w:pPr>
      <w:r>
        <w:rPr>
          <w:rFonts w:hint="eastAsia" w:ascii="宋体" w:hAnsi="宋体" w:cs="宋体"/>
          <w:szCs w:val="21"/>
        </w:rPr>
        <w:t>1.1 接收方是保密主体，对从披露方处所获取的保密信息承担保密责任，本协议中的接收方和披露方为</w:t>
      </w:r>
      <w:r>
        <w:rPr>
          <w:rFonts w:hint="eastAsia" w:ascii="宋体" w:hAnsi="宋体" w:cs="宋体"/>
          <w:szCs w:val="21"/>
          <w:u w:val="single"/>
        </w:rPr>
        <w:t xml:space="preserve">  (1)  </w:t>
      </w:r>
      <w:r>
        <w:rPr>
          <w:rFonts w:hint="eastAsia" w:ascii="宋体" w:hAnsi="宋体" w:cs="宋体"/>
          <w:szCs w:val="21"/>
        </w:rPr>
        <w:t>：</w:t>
      </w:r>
    </w:p>
    <w:p w14:paraId="62955828">
      <w:pPr>
        <w:spacing w:line="400" w:lineRule="exact"/>
        <w:ind w:firstLine="420"/>
        <w:rPr>
          <w:rFonts w:ascii="宋体" w:hAnsi="宋体" w:cs="宋体"/>
          <w:szCs w:val="21"/>
        </w:rPr>
      </w:pPr>
      <w:r>
        <w:rPr>
          <w:rFonts w:hint="eastAsia" w:ascii="宋体" w:hAnsi="宋体" w:cs="宋体"/>
          <w:szCs w:val="21"/>
        </w:rPr>
        <w:t>（1）甲方为披露方，乙方为接收方；</w:t>
      </w:r>
    </w:p>
    <w:p w14:paraId="71E1E91C">
      <w:pPr>
        <w:spacing w:line="400" w:lineRule="exact"/>
        <w:ind w:firstLine="420"/>
        <w:rPr>
          <w:rFonts w:ascii="宋体" w:hAnsi="宋体" w:cs="宋体"/>
          <w:szCs w:val="21"/>
        </w:rPr>
      </w:pPr>
      <w:r>
        <w:rPr>
          <w:rFonts w:hint="eastAsia" w:ascii="宋体" w:hAnsi="宋体" w:cs="宋体"/>
          <w:szCs w:val="21"/>
        </w:rPr>
        <w:t>（2）乙方为披露方，甲方为接收方；</w:t>
      </w:r>
    </w:p>
    <w:p w14:paraId="35214BD6">
      <w:pPr>
        <w:spacing w:line="400" w:lineRule="exact"/>
        <w:ind w:firstLine="420"/>
        <w:rPr>
          <w:rFonts w:ascii="宋体" w:hAnsi="宋体" w:cs="宋体"/>
          <w:szCs w:val="21"/>
        </w:rPr>
      </w:pPr>
      <w:r>
        <w:rPr>
          <w:rFonts w:hint="eastAsia" w:ascii="宋体" w:hAnsi="宋体" w:cs="宋体"/>
          <w:szCs w:val="21"/>
        </w:rPr>
        <w:t>（3）甲乙双方互为披露方和接收方。</w:t>
      </w:r>
    </w:p>
    <w:p w14:paraId="4027BB1E">
      <w:pPr>
        <w:spacing w:line="400" w:lineRule="exact"/>
        <w:ind w:firstLine="420"/>
        <w:rPr>
          <w:rFonts w:ascii="宋体" w:hAnsi="宋体" w:cs="宋体"/>
          <w:color w:val="000000"/>
          <w:szCs w:val="21"/>
        </w:rPr>
      </w:pPr>
      <w:r>
        <w:rPr>
          <w:rFonts w:hint="eastAsia" w:ascii="宋体" w:hAnsi="宋体" w:cs="宋体"/>
          <w:szCs w:val="21"/>
        </w:rPr>
        <w:t>1.2 本协议中接收方包括接收方、接收方的关联方、接收方和其关联方的董事、监事、管理人员和员工、接收方和其关联方聘请的中介服务机构。</w:t>
      </w:r>
    </w:p>
    <w:p w14:paraId="382C5FBD">
      <w:pPr>
        <w:spacing w:line="400" w:lineRule="exact"/>
        <w:ind w:firstLine="413" w:firstLineChars="196"/>
        <w:jc w:val="left"/>
        <w:rPr>
          <w:rFonts w:ascii="宋体" w:hAnsi="宋体" w:cs="宋体"/>
          <w:b/>
          <w:kern w:val="0"/>
          <w:szCs w:val="21"/>
        </w:rPr>
      </w:pPr>
      <w:r>
        <w:rPr>
          <w:rFonts w:hint="eastAsia" w:ascii="宋体" w:hAnsi="宋体" w:cs="宋体"/>
          <w:b/>
          <w:kern w:val="0"/>
          <w:szCs w:val="21"/>
        </w:rPr>
        <w:t>2.保密信息</w:t>
      </w:r>
    </w:p>
    <w:p w14:paraId="7FFF52F7">
      <w:pPr>
        <w:widowControl/>
        <w:spacing w:line="400" w:lineRule="exact"/>
        <w:ind w:firstLine="420"/>
        <w:jc w:val="left"/>
        <w:rPr>
          <w:rFonts w:ascii="宋体" w:hAnsi="宋体" w:cs="宋体"/>
          <w:szCs w:val="21"/>
        </w:rPr>
      </w:pPr>
      <w:r>
        <w:rPr>
          <w:rFonts w:hint="eastAsia" w:ascii="宋体" w:hAnsi="宋体" w:cs="宋体"/>
          <w:szCs w:val="21"/>
        </w:rPr>
        <w:t>2.1 保密信息是指无论本协议签署之前或之后，披露方和/或其代表以口头方式和/或书面方式披露给接收方的与本项目相关的任何非公开信息，包括商业信息、技术信息以及其他具有保密性质的信息，无论这些信息是记载在纸质形式、电子数据形式，或者其他任何形式的载体上，无论是否由披露方明确标注“保密”字样，无论是由披露方、披露方的关联方、披露方和其关联方的董事、监事、管理人员和员工、披露方和其关联方聘请的中介服务机构、对披露方负有保密义务的任何第三方直接或间接向接收方披露的信息，均属保密信息。但下列信息不属于保密信息：</w:t>
      </w:r>
    </w:p>
    <w:p w14:paraId="6DE0FFE3">
      <w:pPr>
        <w:widowControl/>
        <w:spacing w:line="400" w:lineRule="exact"/>
        <w:ind w:firstLine="420"/>
        <w:jc w:val="left"/>
        <w:rPr>
          <w:rFonts w:ascii="宋体" w:hAnsi="宋体" w:cs="宋体"/>
          <w:szCs w:val="21"/>
        </w:rPr>
      </w:pPr>
      <w:r>
        <w:rPr>
          <w:rFonts w:hint="eastAsia" w:ascii="宋体" w:hAnsi="宋体" w:cs="宋体"/>
          <w:szCs w:val="21"/>
        </w:rPr>
        <w:t>2.1.1 披露前已成为公知信息，并可以在公众领域能自由查询到的信息；</w:t>
      </w:r>
    </w:p>
    <w:p w14:paraId="115F1088">
      <w:pPr>
        <w:widowControl/>
        <w:spacing w:line="400" w:lineRule="exact"/>
        <w:ind w:firstLine="420"/>
        <w:jc w:val="left"/>
        <w:rPr>
          <w:rFonts w:ascii="宋体" w:hAnsi="宋体" w:cs="宋体"/>
          <w:szCs w:val="21"/>
        </w:rPr>
      </w:pPr>
      <w:r>
        <w:rPr>
          <w:rFonts w:hint="eastAsia" w:ascii="宋体" w:hAnsi="宋体" w:cs="宋体"/>
          <w:szCs w:val="21"/>
        </w:rPr>
        <w:t>2.1.2 披露后由披露方自行向公众领域公开的信息；</w:t>
      </w:r>
    </w:p>
    <w:p w14:paraId="3E592C81">
      <w:pPr>
        <w:widowControl/>
        <w:spacing w:line="400" w:lineRule="exact"/>
        <w:ind w:firstLine="420"/>
        <w:jc w:val="left"/>
        <w:rPr>
          <w:rFonts w:ascii="宋体" w:hAnsi="宋体" w:cs="宋体"/>
          <w:szCs w:val="21"/>
        </w:rPr>
      </w:pPr>
      <w:r>
        <w:rPr>
          <w:rFonts w:hint="eastAsia" w:ascii="宋体" w:hAnsi="宋体" w:cs="宋体"/>
          <w:szCs w:val="21"/>
        </w:rPr>
        <w:t>2.1.3 披露方明确表示无保密要求的信息；</w:t>
      </w:r>
    </w:p>
    <w:p w14:paraId="79A52FFF">
      <w:pPr>
        <w:widowControl/>
        <w:spacing w:line="400" w:lineRule="exact"/>
        <w:ind w:firstLine="420"/>
        <w:jc w:val="left"/>
        <w:rPr>
          <w:rFonts w:ascii="宋体" w:hAnsi="宋体" w:cs="宋体"/>
          <w:szCs w:val="21"/>
        </w:rPr>
      </w:pPr>
      <w:r>
        <w:rPr>
          <w:rFonts w:hint="eastAsia" w:ascii="宋体" w:hAnsi="宋体" w:cs="宋体"/>
          <w:szCs w:val="21"/>
        </w:rPr>
        <w:t>2.1.4</w:t>
      </w:r>
      <w:r>
        <w:rPr>
          <w:rFonts w:hint="eastAsia" w:ascii="宋体" w:hAnsi="宋体" w:cs="宋体"/>
          <w:szCs w:val="21"/>
          <w:u w:val="single"/>
        </w:rPr>
        <w:t xml:space="preserve">           /         。 </w:t>
      </w:r>
    </w:p>
    <w:p w14:paraId="69D468AB">
      <w:pPr>
        <w:widowControl/>
        <w:spacing w:line="400" w:lineRule="exact"/>
        <w:ind w:firstLine="420"/>
        <w:jc w:val="left"/>
        <w:rPr>
          <w:rFonts w:ascii="宋体" w:hAnsi="宋体" w:cs="宋体"/>
          <w:szCs w:val="21"/>
        </w:rPr>
      </w:pPr>
      <w:r>
        <w:rPr>
          <w:rFonts w:hint="eastAsia" w:ascii="宋体" w:hAnsi="宋体" w:cs="宋体"/>
          <w:szCs w:val="21"/>
        </w:rPr>
        <w:t>2.2 商业信息包括但不限于：会议记录、会议纪要、备忘录；经营战略、经营方针、经营规划、经营决策；采购信息、销售信息、价格方案、客户信息；业务流程；财务信息；规章制度、管理方法；企业发展规划、可行性分析资料；合同、协议、意向书及其他任何不被公众领域所知的信息；</w:t>
      </w:r>
    </w:p>
    <w:p w14:paraId="1CEA7BFB">
      <w:pPr>
        <w:widowControl/>
        <w:spacing w:line="400" w:lineRule="exact"/>
        <w:ind w:firstLine="420"/>
        <w:jc w:val="left"/>
        <w:rPr>
          <w:rFonts w:ascii="宋体" w:hAnsi="宋体" w:cs="宋体"/>
          <w:szCs w:val="21"/>
        </w:rPr>
      </w:pPr>
      <w:r>
        <w:rPr>
          <w:rFonts w:hint="eastAsia" w:ascii="宋体" w:hAnsi="宋体" w:cs="宋体"/>
          <w:szCs w:val="21"/>
        </w:rPr>
        <w:t>2.3 技术信息包括但不限于：专利实施、技术方案；制造方法、配方、工艺流程；技术指标；工程设计、电路设计、计算机软件、数据库、源程序、技术报告、研发记录；检测报告；实验数据、试验结果；图纸、样品、模型、模具；操作手册及其他任何不被公众领域所知的信息；</w:t>
      </w:r>
    </w:p>
    <w:p w14:paraId="6A8DAA7A">
      <w:pPr>
        <w:widowControl/>
        <w:spacing w:line="400" w:lineRule="exact"/>
        <w:ind w:firstLine="420"/>
        <w:jc w:val="left"/>
        <w:rPr>
          <w:rFonts w:ascii="宋体" w:hAnsi="宋体" w:cs="宋体"/>
          <w:szCs w:val="21"/>
        </w:rPr>
      </w:pPr>
      <w:r>
        <w:rPr>
          <w:rFonts w:hint="eastAsia" w:ascii="宋体" w:hAnsi="宋体" w:cs="宋体"/>
          <w:szCs w:val="21"/>
        </w:rPr>
        <w:t>2.4 根据法律或者相关协议约定披露方负有保密义务的第三方信息；</w:t>
      </w:r>
    </w:p>
    <w:p w14:paraId="5B38CFCD">
      <w:pPr>
        <w:spacing w:line="400" w:lineRule="exact"/>
        <w:ind w:firstLine="420"/>
        <w:rPr>
          <w:rFonts w:ascii="宋体" w:hAnsi="宋体" w:cs="宋体"/>
          <w:szCs w:val="21"/>
        </w:rPr>
      </w:pPr>
      <w:r>
        <w:rPr>
          <w:rFonts w:hint="eastAsia" w:ascii="宋体" w:hAnsi="宋体" w:cs="宋体"/>
          <w:szCs w:val="21"/>
        </w:rPr>
        <w:t xml:space="preserve">2.5 </w:t>
      </w:r>
      <w:r>
        <w:rPr>
          <w:rFonts w:hint="eastAsia" w:ascii="宋体" w:hAnsi="宋体" w:cs="宋体"/>
          <w:szCs w:val="21"/>
          <w:u w:val="single"/>
        </w:rPr>
        <w:t xml:space="preserve">         /          </w:t>
      </w:r>
      <w:r>
        <w:rPr>
          <w:rFonts w:hint="eastAsia" w:ascii="宋体" w:hAnsi="宋体" w:cs="宋体"/>
          <w:szCs w:val="21"/>
        </w:rPr>
        <w:t>。</w:t>
      </w:r>
    </w:p>
    <w:p w14:paraId="2E00C0E8">
      <w:pPr>
        <w:spacing w:line="400" w:lineRule="exact"/>
        <w:ind w:firstLine="413" w:firstLineChars="196"/>
        <w:jc w:val="left"/>
        <w:rPr>
          <w:rFonts w:ascii="宋体" w:hAnsi="宋体" w:cs="宋体"/>
          <w:b/>
          <w:kern w:val="0"/>
          <w:szCs w:val="21"/>
        </w:rPr>
      </w:pPr>
      <w:r>
        <w:rPr>
          <w:rFonts w:hint="eastAsia" w:ascii="宋体" w:hAnsi="宋体" w:cs="宋体"/>
          <w:b/>
          <w:kern w:val="0"/>
          <w:szCs w:val="21"/>
        </w:rPr>
        <w:t>3.保密要求</w:t>
      </w:r>
    </w:p>
    <w:p w14:paraId="6FD3CFD0">
      <w:pPr>
        <w:spacing w:line="400" w:lineRule="exact"/>
        <w:ind w:firstLine="420"/>
        <w:jc w:val="left"/>
        <w:rPr>
          <w:rFonts w:ascii="宋体" w:hAnsi="宋体" w:cs="宋体"/>
          <w:szCs w:val="21"/>
        </w:rPr>
      </w:pPr>
      <w:r>
        <w:rPr>
          <w:rFonts w:hint="eastAsia" w:ascii="宋体" w:hAnsi="宋体" w:cs="宋体"/>
          <w:szCs w:val="21"/>
        </w:rPr>
        <w:t>3.1 接收方对于来自披露方或其他途径获悉的保密信息负有完全和严格的保密义务。除非为了执行本项目之目的，并经披露方事先书面同意，接收方不得为自己或他人的利益使用、允许使用、转让、复制、传授、泄漏保密信息；接收方不得对保密信息进行分析并从该等分析中获利；</w:t>
      </w:r>
    </w:p>
    <w:p w14:paraId="5296053B">
      <w:pPr>
        <w:spacing w:line="400" w:lineRule="exact"/>
        <w:ind w:firstLine="420"/>
        <w:jc w:val="left"/>
        <w:rPr>
          <w:rFonts w:ascii="宋体" w:hAnsi="宋体" w:cs="宋体"/>
          <w:szCs w:val="21"/>
        </w:rPr>
      </w:pPr>
      <w:r>
        <w:rPr>
          <w:rFonts w:hint="eastAsia" w:ascii="宋体" w:hAnsi="宋体" w:cs="宋体"/>
          <w:szCs w:val="21"/>
        </w:rPr>
        <w:t>3.2 接收方应以一切的合理手段且不低于接收方自身对类似保密信息所采取的措施来保护保密信息，并应严格限定接收方内部知悉保密信息的人员范围，接收方应要求其获悉秘密信息的所有人员采取必要的措施对收到的秘密信息进行保密，避免任何第三方及接收方的无关人员以任何方式获得此保密信息；</w:t>
      </w:r>
    </w:p>
    <w:p w14:paraId="4B0FFD2C">
      <w:pPr>
        <w:spacing w:line="400" w:lineRule="exact"/>
        <w:ind w:firstLine="420"/>
        <w:jc w:val="left"/>
        <w:rPr>
          <w:rFonts w:ascii="宋体" w:hAnsi="宋体" w:cs="宋体"/>
          <w:szCs w:val="21"/>
        </w:rPr>
      </w:pPr>
      <w:r>
        <w:rPr>
          <w:rFonts w:hint="eastAsia" w:ascii="宋体" w:hAnsi="宋体" w:cs="宋体"/>
          <w:szCs w:val="21"/>
        </w:rPr>
        <w:t>3.3 接收方保证其在合作中有必要知晓保密信息的符合第1.2条情形的所有人员，受到与本协议同等严格保密责任的约束，接收方应对前述人员违反保密要求的行为承担全部责任；</w:t>
      </w:r>
    </w:p>
    <w:p w14:paraId="5F3504CF">
      <w:pPr>
        <w:spacing w:after="120" w:line="400" w:lineRule="exact"/>
        <w:ind w:left="420" w:leftChars="200" w:firstLine="420"/>
        <w:rPr>
          <w:rFonts w:ascii="宋体" w:hAnsi="宋体" w:cs="宋体"/>
          <w:szCs w:val="21"/>
        </w:rPr>
      </w:pPr>
      <w:r>
        <w:rPr>
          <w:rFonts w:hint="eastAsia" w:ascii="宋体" w:hAnsi="宋体" w:cs="宋体"/>
          <w:szCs w:val="21"/>
        </w:rPr>
        <w:t>3.4 接收方在收到任何第三方以任何方式发出的对于涉及本协议的保密信息的询问、求证、访问时，应以该保密信息不知情者的身份用“不知道、不清楚、不了解”等方式做出回复。任何类似于“是”或“不是”等明确的肯定或否定的答复均被视为对保密义务的违反；</w:t>
      </w:r>
    </w:p>
    <w:p w14:paraId="14424687">
      <w:pPr>
        <w:spacing w:after="120" w:line="400" w:lineRule="exact"/>
        <w:ind w:left="420" w:leftChars="200" w:firstLine="420"/>
        <w:rPr>
          <w:rFonts w:ascii="宋体" w:hAnsi="宋体" w:cs="宋体"/>
          <w:szCs w:val="21"/>
        </w:rPr>
      </w:pPr>
      <w:r>
        <w:rPr>
          <w:rFonts w:hint="eastAsia" w:ascii="宋体" w:hAnsi="宋体" w:cs="宋体"/>
          <w:szCs w:val="21"/>
        </w:rPr>
        <w:t>3.5 披露方的保密信息的部分或个别要素虽被披露成为公知信息，但该信息的其它部分或整体尚未成为公知信息的，接收方仍应按本协议约定对未公开部分的信息履行保密义务；</w:t>
      </w:r>
    </w:p>
    <w:p w14:paraId="27FE36B2">
      <w:pPr>
        <w:spacing w:after="120" w:line="400" w:lineRule="exact"/>
        <w:ind w:left="420" w:leftChars="200" w:firstLine="420"/>
        <w:rPr>
          <w:rFonts w:ascii="宋体" w:hAnsi="宋体" w:cs="宋体"/>
          <w:spacing w:val="-4"/>
          <w:szCs w:val="21"/>
        </w:rPr>
      </w:pPr>
      <w:r>
        <w:rPr>
          <w:rFonts w:hint="eastAsia" w:ascii="宋体" w:hAnsi="宋体" w:cs="宋体"/>
          <w:szCs w:val="21"/>
        </w:rPr>
        <w:t xml:space="preserve">3.6 </w:t>
      </w:r>
      <w:r>
        <w:rPr>
          <w:rFonts w:hint="eastAsia" w:ascii="宋体" w:hAnsi="宋体" w:cs="宋体"/>
          <w:spacing w:val="-4"/>
          <w:szCs w:val="21"/>
        </w:rPr>
        <w:t>因中华人民共和国监管部门要求提供，或者司法机关依职权要求接收方提供相关保密信息的，接收方应当自接到通知之日当天以书面形式告知披露方，并将监管部门或司法机关要求提供保密信息的法律文件原件（或加盖接收方印章的复印件）转给披露方，经披露方同意后方可提供；</w:t>
      </w:r>
    </w:p>
    <w:p w14:paraId="01F1C1F3">
      <w:pPr>
        <w:spacing w:after="120" w:line="400" w:lineRule="exact"/>
        <w:ind w:left="420" w:leftChars="200" w:firstLine="420"/>
        <w:rPr>
          <w:rFonts w:ascii="宋体" w:hAnsi="宋体" w:cs="宋体"/>
          <w:szCs w:val="21"/>
        </w:rPr>
      </w:pPr>
      <w:r>
        <w:rPr>
          <w:rFonts w:hint="eastAsia" w:ascii="宋体" w:hAnsi="宋体" w:cs="宋体"/>
          <w:szCs w:val="21"/>
        </w:rPr>
        <w:t>3.7 无论因为何种原因导致双方合作目的未予实现，</w:t>
      </w:r>
      <w:r>
        <w:rPr>
          <w:rFonts w:hint="eastAsia" w:ascii="宋体" w:hAnsi="宋体" w:cs="宋体"/>
          <w:spacing w:val="-4"/>
          <w:szCs w:val="21"/>
        </w:rPr>
        <w:t>接收方</w:t>
      </w:r>
      <w:r>
        <w:rPr>
          <w:rFonts w:hint="eastAsia" w:ascii="宋体" w:hAnsi="宋体" w:cs="宋体"/>
          <w:szCs w:val="21"/>
        </w:rPr>
        <w:t>应当在</w:t>
      </w:r>
      <w:r>
        <w:rPr>
          <w:rFonts w:hint="eastAsia" w:ascii="宋体" w:hAnsi="宋体" w:cs="宋体"/>
          <w:spacing w:val="-4"/>
          <w:szCs w:val="21"/>
        </w:rPr>
        <w:t>披露方</w:t>
      </w:r>
      <w:r>
        <w:rPr>
          <w:rFonts w:hint="eastAsia" w:ascii="宋体" w:hAnsi="宋体" w:cs="宋体"/>
          <w:szCs w:val="21"/>
        </w:rPr>
        <w:t>通知之日起3日内返还并销毁其所获取的所有保密信息及保密信息载体，接收方不得以任何理由和方式保留；</w:t>
      </w:r>
    </w:p>
    <w:p w14:paraId="6C7769BB">
      <w:pPr>
        <w:spacing w:line="400" w:lineRule="exact"/>
        <w:ind w:firstLine="420"/>
        <w:jc w:val="left"/>
        <w:rPr>
          <w:rFonts w:ascii="宋体" w:hAnsi="宋体" w:cs="宋体"/>
          <w:kern w:val="0"/>
          <w:szCs w:val="21"/>
        </w:rPr>
      </w:pPr>
      <w:r>
        <w:rPr>
          <w:rFonts w:hint="eastAsia" w:ascii="宋体" w:hAnsi="宋体" w:cs="宋体"/>
          <w:kern w:val="0"/>
          <w:szCs w:val="21"/>
        </w:rPr>
        <w:t>3.8 其他要求：</w:t>
      </w:r>
      <w:r>
        <w:rPr>
          <w:rFonts w:hint="eastAsia" w:ascii="宋体" w:hAnsi="宋体" w:cs="宋体"/>
          <w:szCs w:val="21"/>
          <w:u w:val="single"/>
        </w:rPr>
        <w:t xml:space="preserve">        /           </w:t>
      </w:r>
      <w:r>
        <w:rPr>
          <w:rFonts w:hint="eastAsia" w:ascii="宋体" w:hAnsi="宋体" w:cs="宋体"/>
          <w:szCs w:val="21"/>
        </w:rPr>
        <w:t>。</w:t>
      </w:r>
    </w:p>
    <w:p w14:paraId="2B12DDA9">
      <w:pPr>
        <w:spacing w:line="400" w:lineRule="exact"/>
        <w:ind w:left="435" w:firstLine="0" w:firstLineChars="0"/>
        <w:jc w:val="left"/>
        <w:rPr>
          <w:rFonts w:ascii="宋体" w:hAnsi="宋体" w:cs="宋体"/>
          <w:b/>
          <w:kern w:val="0"/>
          <w:szCs w:val="21"/>
        </w:rPr>
      </w:pPr>
      <w:r>
        <w:rPr>
          <w:rFonts w:hint="eastAsia" w:ascii="宋体" w:hAnsi="宋体" w:cs="宋体"/>
          <w:b/>
          <w:kern w:val="0"/>
          <w:szCs w:val="21"/>
        </w:rPr>
        <w:t>4.保密期限</w:t>
      </w:r>
    </w:p>
    <w:p w14:paraId="2DF8BB15">
      <w:pPr>
        <w:spacing w:line="400" w:lineRule="exact"/>
        <w:ind w:firstLine="404"/>
        <w:jc w:val="left"/>
        <w:rPr>
          <w:rFonts w:ascii="宋体" w:hAnsi="宋体" w:cs="宋体"/>
          <w:spacing w:val="-4"/>
          <w:szCs w:val="21"/>
        </w:rPr>
      </w:pPr>
      <w:r>
        <w:rPr>
          <w:rFonts w:hint="eastAsia" w:ascii="宋体" w:hAnsi="宋体" w:cs="宋体"/>
          <w:spacing w:val="-4"/>
          <w:szCs w:val="21"/>
        </w:rPr>
        <w:t>4.1保密期限为</w:t>
      </w:r>
      <w:r>
        <w:rPr>
          <w:rFonts w:hint="eastAsia" w:ascii="宋体" w:hAnsi="宋体" w:cs="宋体"/>
          <w:spacing w:val="-4"/>
          <w:szCs w:val="21"/>
          <w:u w:val="single"/>
        </w:rPr>
        <w:t xml:space="preserve">  3   </w:t>
      </w:r>
      <w:r>
        <w:rPr>
          <w:rFonts w:hint="eastAsia" w:ascii="宋体" w:hAnsi="宋体" w:cs="宋体"/>
          <w:spacing w:val="-4"/>
          <w:szCs w:val="21"/>
        </w:rPr>
        <w:t>年，自本协议生效之日起算，但如果某项保密信息在保密期限内被披露方公开披露或成为公开信息的，则该项保密信息的保密期限可以立即终止，但其他保密信息的保密期限继续有效；</w:t>
      </w:r>
    </w:p>
    <w:p w14:paraId="717F1047">
      <w:pPr>
        <w:spacing w:after="120" w:line="400" w:lineRule="exact"/>
        <w:ind w:firstLine="420"/>
        <w:rPr>
          <w:rFonts w:ascii="宋体" w:hAnsi="宋体" w:cs="宋体"/>
          <w:szCs w:val="21"/>
        </w:rPr>
      </w:pPr>
      <w:r>
        <w:rPr>
          <w:rFonts w:hint="eastAsia" w:ascii="宋体" w:hAnsi="宋体" w:cs="宋体"/>
          <w:szCs w:val="21"/>
        </w:rPr>
        <w:t>4.2 本协议生效前，披露方已经披露给接收方的保密信息的保密期限自接收方收到该等保密信息之日起算，终止日期按4.1条约定执行。</w:t>
      </w:r>
    </w:p>
    <w:p w14:paraId="3A804CBF">
      <w:pPr>
        <w:spacing w:line="400" w:lineRule="exact"/>
        <w:ind w:firstLine="422"/>
        <w:rPr>
          <w:rFonts w:ascii="宋体" w:hAnsi="宋体" w:cs="宋体"/>
          <w:b/>
          <w:bCs/>
          <w:kern w:val="0"/>
          <w:szCs w:val="21"/>
        </w:rPr>
      </w:pPr>
      <w:r>
        <w:rPr>
          <w:rFonts w:hint="eastAsia" w:ascii="宋体" w:hAnsi="宋体" w:cs="宋体"/>
          <w:b/>
          <w:bCs/>
          <w:kern w:val="0"/>
          <w:szCs w:val="21"/>
        </w:rPr>
        <w:t>5.违约责任</w:t>
      </w:r>
    </w:p>
    <w:p w14:paraId="1601397E">
      <w:pPr>
        <w:spacing w:line="400" w:lineRule="exact"/>
        <w:ind w:firstLine="404"/>
        <w:rPr>
          <w:rFonts w:ascii="宋体" w:hAnsi="宋体" w:cs="宋体"/>
          <w:spacing w:val="-4"/>
          <w:szCs w:val="21"/>
        </w:rPr>
      </w:pPr>
      <w:r>
        <w:rPr>
          <w:rFonts w:hint="eastAsia" w:ascii="宋体" w:hAnsi="宋体" w:cs="宋体"/>
          <w:spacing w:val="-4"/>
          <w:szCs w:val="21"/>
        </w:rPr>
        <w:t>5.1 在披露方提供的保密信息送达接收方之后，该保密信息因被盗、被抢、丢失等意外原因被泄露，由接收方承担责任，本协议所称送达，是指：（1）面对面交接保密信息的，交接当时为送达；（2）以信件形式寄送的，由接收方任何部门或人员签收即为送达；（3）以电子邮件、微信或其他即时通讯方式发送的，发送成功当时即为送达；（4）以传真方式送达的，披露方传真发送成功为送达；</w:t>
      </w:r>
    </w:p>
    <w:p w14:paraId="1C59A9C0">
      <w:pPr>
        <w:spacing w:line="400" w:lineRule="exact"/>
        <w:ind w:firstLine="404"/>
        <w:rPr>
          <w:rFonts w:ascii="宋体" w:hAnsi="宋体" w:cs="宋体"/>
          <w:spacing w:val="-4"/>
          <w:szCs w:val="21"/>
        </w:rPr>
      </w:pPr>
      <w:r>
        <w:rPr>
          <w:rFonts w:hint="eastAsia" w:ascii="宋体" w:hAnsi="宋体" w:cs="宋体"/>
          <w:spacing w:val="-4"/>
          <w:szCs w:val="21"/>
        </w:rPr>
        <w:t>5.2 因接收方提供错误的电话号码、传真号码、电子邮箱、邮寄地址、微信号、信息接收人等联系方式导致保密信息被泄露，由接收方承担责任；</w:t>
      </w:r>
    </w:p>
    <w:p w14:paraId="15CDBB23">
      <w:pPr>
        <w:spacing w:line="400" w:lineRule="exact"/>
        <w:ind w:firstLine="404"/>
        <w:rPr>
          <w:rFonts w:ascii="宋体" w:hAnsi="宋体" w:cs="宋体"/>
          <w:spacing w:val="-4"/>
          <w:szCs w:val="21"/>
        </w:rPr>
      </w:pPr>
      <w:r>
        <w:rPr>
          <w:rFonts w:hint="eastAsia" w:ascii="宋体" w:hAnsi="宋体" w:cs="宋体"/>
          <w:spacing w:val="-4"/>
          <w:szCs w:val="21"/>
        </w:rPr>
        <w:t>5.3 接收方违反保密义务的，披露方可以解除主合同（如有），且要求接收方赔偿披露方因此所遭受的全部直接和间接经济损失，经济损失无法计算的，则应向披露方赔偿</w:t>
      </w:r>
      <w:r>
        <w:rPr>
          <w:rFonts w:hint="eastAsia" w:ascii="宋体" w:hAnsi="宋体" w:cs="宋体"/>
          <w:spacing w:val="-4"/>
          <w:szCs w:val="21"/>
          <w:u w:val="single"/>
        </w:rPr>
        <w:t xml:space="preserve">    </w:t>
      </w:r>
      <w:r>
        <w:rPr>
          <w:rFonts w:hint="eastAsia" w:ascii="宋体" w:hAnsi="宋体" w:cs="宋体"/>
          <w:spacing w:val="-4"/>
          <w:szCs w:val="21"/>
        </w:rPr>
        <w:t>元；</w:t>
      </w:r>
    </w:p>
    <w:p w14:paraId="2FC603C0">
      <w:pPr>
        <w:spacing w:after="120" w:line="400" w:lineRule="exact"/>
        <w:ind w:left="420" w:leftChars="200" w:firstLine="404"/>
        <w:rPr>
          <w:rFonts w:ascii="宋体" w:hAnsi="宋体" w:cs="宋体"/>
          <w:spacing w:val="-4"/>
          <w:szCs w:val="21"/>
        </w:rPr>
      </w:pPr>
      <w:r>
        <w:rPr>
          <w:rFonts w:hint="eastAsia" w:ascii="宋体" w:hAnsi="宋体" w:cs="宋体"/>
          <w:spacing w:val="-4"/>
          <w:szCs w:val="21"/>
        </w:rPr>
        <w:t>5.4 前款所称披露方的损失，包括但不限于直接经济损失、间接经济损失、商誉损失、调查取证费、公证费、诉讼仲裁费、律师费、其它费用；</w:t>
      </w:r>
    </w:p>
    <w:p w14:paraId="124A33E5">
      <w:pPr>
        <w:spacing w:after="120" w:line="400" w:lineRule="exact"/>
        <w:ind w:left="420" w:leftChars="200" w:firstLine="404"/>
        <w:rPr>
          <w:rFonts w:ascii="宋体" w:hAnsi="宋体" w:cs="宋体"/>
          <w:spacing w:val="-4"/>
          <w:szCs w:val="21"/>
        </w:rPr>
      </w:pPr>
      <w:r>
        <w:rPr>
          <w:rFonts w:hint="eastAsia" w:ascii="宋体" w:hAnsi="宋体" w:cs="宋体"/>
          <w:spacing w:val="-4"/>
          <w:szCs w:val="21"/>
        </w:rPr>
        <w:t>5.5 除要求接收方承担经济赔偿责任外，披露方还可依法将接收方违反保密义务的行为向国家有关机关举报；</w:t>
      </w:r>
    </w:p>
    <w:p w14:paraId="62C7E3D5">
      <w:pPr>
        <w:spacing w:line="400" w:lineRule="exact"/>
        <w:ind w:firstLine="422"/>
        <w:rPr>
          <w:rFonts w:ascii="宋体" w:hAnsi="宋体" w:cs="宋体"/>
          <w:b/>
          <w:bCs/>
          <w:kern w:val="0"/>
          <w:szCs w:val="21"/>
        </w:rPr>
      </w:pPr>
      <w:r>
        <w:rPr>
          <w:rFonts w:hint="eastAsia" w:ascii="宋体" w:hAnsi="宋体" w:cs="宋体"/>
          <w:b/>
          <w:bCs/>
          <w:kern w:val="0"/>
          <w:szCs w:val="21"/>
        </w:rPr>
        <w:t>6.争议的解决</w:t>
      </w:r>
    </w:p>
    <w:p w14:paraId="6D316CC4">
      <w:pPr>
        <w:spacing w:line="400" w:lineRule="exact"/>
        <w:ind w:firstLine="420"/>
        <w:rPr>
          <w:rFonts w:ascii="宋体" w:hAnsi="宋体" w:cs="宋体"/>
          <w:szCs w:val="21"/>
        </w:rPr>
      </w:pPr>
      <w:r>
        <w:rPr>
          <w:rFonts w:hint="eastAsia" w:ascii="宋体" w:hAnsi="宋体" w:cs="宋体"/>
          <w:szCs w:val="21"/>
        </w:rPr>
        <w:t xml:space="preserve">6.1 对于因本协议产生的或与本协议相关的任何争议，协议当事方应当友好协商解决，或者在第三方主持下调解解决，也可以通过下列第（ 1 ）种方式解决： </w:t>
      </w:r>
    </w:p>
    <w:p w14:paraId="43B03CCC">
      <w:pPr>
        <w:spacing w:line="400" w:lineRule="exact"/>
        <w:ind w:firstLine="420"/>
        <w:rPr>
          <w:rFonts w:ascii="宋体" w:hAnsi="宋体" w:cs="宋体"/>
          <w:szCs w:val="21"/>
        </w:rPr>
      </w:pPr>
      <w:r>
        <w:rPr>
          <w:rFonts w:hint="eastAsia" w:ascii="宋体" w:hAnsi="宋体" w:cs="宋体"/>
          <w:szCs w:val="21"/>
        </w:rPr>
        <w:t>（1）将该争议提交</w:t>
      </w:r>
      <w:r>
        <w:rPr>
          <w:rFonts w:hint="eastAsia" w:ascii="宋体" w:hAnsi="宋体" w:cs="宋体"/>
          <w:b/>
          <w:bCs/>
          <w:szCs w:val="21"/>
        </w:rPr>
        <w:t>甲方所在地</w:t>
      </w:r>
      <w:r>
        <w:rPr>
          <w:rFonts w:hint="eastAsia" w:ascii="宋体" w:hAnsi="宋体" w:cs="宋体"/>
          <w:szCs w:val="21"/>
        </w:rPr>
        <w:t>法院通过诉讼解决，本约定如与法律规定的专门管辖或专属管辖相冲突的，应服从法律的规定。</w:t>
      </w:r>
    </w:p>
    <w:p w14:paraId="174DB6F9">
      <w:pPr>
        <w:spacing w:line="400" w:lineRule="exact"/>
        <w:ind w:firstLine="420"/>
        <w:rPr>
          <w:rFonts w:ascii="宋体" w:hAnsi="宋体" w:cs="宋体"/>
          <w:szCs w:val="21"/>
        </w:rPr>
      </w:pPr>
      <w:r>
        <w:rPr>
          <w:rFonts w:hint="eastAsia" w:ascii="宋体" w:hAnsi="宋体" w:cs="宋体"/>
          <w:szCs w:val="21"/>
        </w:rPr>
        <w:t>（2）将争议提交（  /   ）仲裁委员会</w:t>
      </w:r>
      <w:r>
        <w:rPr>
          <w:rFonts w:hint="eastAsia" w:ascii="宋体" w:hAnsi="宋体" w:cs="宋体"/>
          <w:b/>
          <w:bCs/>
          <w:szCs w:val="21"/>
        </w:rPr>
        <w:t>（注：具体填写规范的仲裁机构名称）</w:t>
      </w:r>
      <w:r>
        <w:rPr>
          <w:rFonts w:hint="eastAsia" w:ascii="宋体" w:hAnsi="宋体" w:cs="宋体"/>
          <w:szCs w:val="21"/>
        </w:rPr>
        <w:t>，按照申请仲裁时该会有效的仲裁规则在（   /  ）</w:t>
      </w:r>
      <w:r>
        <w:rPr>
          <w:rFonts w:hint="eastAsia" w:ascii="宋体" w:hAnsi="宋体" w:cs="宋体"/>
          <w:b/>
          <w:bCs/>
          <w:szCs w:val="21"/>
        </w:rPr>
        <w:t>（注：填写具体的仲裁地点，仲裁地点可以与仲裁机构所在地不同）</w:t>
      </w:r>
      <w:r>
        <w:rPr>
          <w:rFonts w:hint="eastAsia" w:ascii="宋体" w:hAnsi="宋体" w:cs="宋体"/>
          <w:szCs w:val="21"/>
        </w:rPr>
        <w:t>通过仲裁方式解决。仲裁庭的组成应有3名仲裁员，仲裁裁决是终局的，对双方均有约束力。</w:t>
      </w:r>
    </w:p>
    <w:p w14:paraId="1FB60498">
      <w:pPr>
        <w:spacing w:line="400" w:lineRule="exact"/>
        <w:ind w:firstLine="420"/>
        <w:rPr>
          <w:rFonts w:ascii="宋体" w:hAnsi="宋体" w:cs="宋体"/>
          <w:szCs w:val="21"/>
        </w:rPr>
      </w:pPr>
      <w:r>
        <w:rPr>
          <w:rFonts w:hint="eastAsia" w:ascii="宋体" w:hAnsi="宋体" w:cs="宋体"/>
          <w:szCs w:val="21"/>
        </w:rPr>
        <w:t>6.2 对于协议中未受争议问题影响的其他条款，在争议解决过程中，双方仍应按协议约定履行。</w:t>
      </w:r>
    </w:p>
    <w:p w14:paraId="36B586B0">
      <w:pPr>
        <w:spacing w:line="400" w:lineRule="exact"/>
        <w:ind w:firstLine="422"/>
        <w:rPr>
          <w:rFonts w:ascii="宋体" w:hAnsi="宋体" w:cs="宋体"/>
          <w:b/>
          <w:szCs w:val="21"/>
        </w:rPr>
      </w:pPr>
      <w:r>
        <w:rPr>
          <w:rFonts w:hint="eastAsia" w:ascii="宋体" w:hAnsi="宋体" w:cs="宋体"/>
          <w:b/>
          <w:szCs w:val="21"/>
        </w:rPr>
        <w:t>7.通知与送达</w:t>
      </w:r>
    </w:p>
    <w:p w14:paraId="1FDD0D55">
      <w:pPr>
        <w:spacing w:line="400" w:lineRule="exact"/>
        <w:ind w:firstLine="420"/>
        <w:rPr>
          <w:rFonts w:ascii="宋体" w:hAnsi="宋体" w:cs="宋体"/>
          <w:szCs w:val="21"/>
        </w:rPr>
      </w:pPr>
      <w:r>
        <w:rPr>
          <w:rFonts w:hint="eastAsia" w:ascii="宋体" w:hAnsi="宋体" w:cs="宋体"/>
          <w:szCs w:val="21"/>
        </w:rPr>
        <w:t>协议一方向对方发出的任何书面通知，只要送至相对方提供的协议首部地址即视为已经送达。采用邮寄方式送达的，交寄日后的第三日即为送达之日。采用Email送达的，发出Email之日即为送达日。由于协议一方提供的联系信息不准确或变更后未及时通知相对方，造成送达文件被退回的，邮件回执上注明的退回当日视为送达之日。</w:t>
      </w:r>
    </w:p>
    <w:p w14:paraId="32E436D1">
      <w:pPr>
        <w:spacing w:line="400" w:lineRule="exact"/>
        <w:ind w:firstLine="420"/>
        <w:rPr>
          <w:rFonts w:ascii="宋体" w:hAnsi="宋体" w:cs="宋体"/>
          <w:szCs w:val="21"/>
        </w:rPr>
      </w:pPr>
      <w:r>
        <w:rPr>
          <w:rFonts w:hint="eastAsia" w:ascii="宋体" w:hAnsi="宋体" w:cs="宋体"/>
          <w:szCs w:val="21"/>
        </w:rPr>
        <w:t>双方确认，上述地址也视同诉讼送达地址，双方不可撤销地同意，所有诉讼（仲裁）过程中的法律文书通过上述地址送达的，无论受送达人是否签收，或是否有权人签收，均为有效送达。</w:t>
      </w:r>
    </w:p>
    <w:p w14:paraId="3626ADD5">
      <w:pPr>
        <w:spacing w:line="400" w:lineRule="exact"/>
        <w:ind w:firstLine="422"/>
        <w:rPr>
          <w:rFonts w:ascii="宋体" w:hAnsi="宋体" w:cs="宋体"/>
          <w:b/>
          <w:bCs/>
          <w:kern w:val="0"/>
          <w:szCs w:val="21"/>
        </w:rPr>
      </w:pPr>
      <w:r>
        <w:rPr>
          <w:rFonts w:hint="eastAsia" w:ascii="宋体" w:hAnsi="宋体" w:cs="宋体"/>
          <w:b/>
          <w:bCs/>
          <w:kern w:val="0"/>
          <w:szCs w:val="21"/>
        </w:rPr>
        <w:t>8.其他</w:t>
      </w:r>
    </w:p>
    <w:p w14:paraId="4F9517D1">
      <w:pPr>
        <w:spacing w:line="400" w:lineRule="exact"/>
        <w:ind w:firstLine="420"/>
        <w:rPr>
          <w:rFonts w:ascii="宋体" w:hAnsi="宋体" w:cs="宋体"/>
          <w:kern w:val="0"/>
          <w:szCs w:val="21"/>
        </w:rPr>
      </w:pPr>
      <w:r>
        <w:rPr>
          <w:rFonts w:hint="eastAsia" w:ascii="宋体" w:hAnsi="宋体" w:cs="宋体"/>
          <w:kern w:val="0"/>
          <w:szCs w:val="21"/>
        </w:rPr>
        <w:t>8.1 本协议自双方盖单位印章或法定代表人签字之日起生效，自双方协议义务履行完毕时终止。</w:t>
      </w:r>
    </w:p>
    <w:p w14:paraId="3E428340">
      <w:pPr>
        <w:spacing w:line="400" w:lineRule="exact"/>
        <w:ind w:firstLine="420"/>
        <w:rPr>
          <w:rFonts w:ascii="宋体" w:hAnsi="宋体" w:cs="宋体"/>
          <w:kern w:val="0"/>
          <w:szCs w:val="21"/>
        </w:rPr>
      </w:pPr>
      <w:r>
        <w:rPr>
          <w:rFonts w:hint="eastAsia" w:ascii="宋体" w:hAnsi="宋体" w:cs="宋体"/>
          <w:kern w:val="0"/>
          <w:szCs w:val="21"/>
        </w:rPr>
        <w:t>8.2 本协议一式</w:t>
      </w:r>
      <w:r>
        <w:rPr>
          <w:rFonts w:hint="eastAsia" w:ascii="宋体" w:hAnsi="宋体" w:cs="宋体"/>
          <w:kern w:val="0"/>
          <w:szCs w:val="21"/>
          <w:u w:val="single"/>
        </w:rPr>
        <w:t xml:space="preserve"> 贰  </w:t>
      </w:r>
      <w:r>
        <w:rPr>
          <w:rFonts w:hint="eastAsia" w:ascii="宋体" w:hAnsi="宋体" w:cs="宋体"/>
          <w:kern w:val="0"/>
          <w:szCs w:val="21"/>
        </w:rPr>
        <w:t>份，双方各执</w:t>
      </w:r>
      <w:r>
        <w:rPr>
          <w:rFonts w:hint="eastAsia" w:ascii="宋体" w:hAnsi="宋体" w:cs="宋体"/>
          <w:kern w:val="0"/>
          <w:szCs w:val="21"/>
          <w:u w:val="single"/>
        </w:rPr>
        <w:t xml:space="preserve">  壹 </w:t>
      </w:r>
      <w:r>
        <w:rPr>
          <w:rFonts w:hint="eastAsia" w:ascii="宋体" w:hAnsi="宋体" w:cs="宋体"/>
          <w:kern w:val="0"/>
          <w:szCs w:val="21"/>
        </w:rPr>
        <w:t>份。</w:t>
      </w:r>
    </w:p>
    <w:p w14:paraId="68334AA8">
      <w:pPr>
        <w:adjustRightInd w:val="0"/>
        <w:snapToGrid w:val="0"/>
        <w:spacing w:before="156" w:beforeLines="50" w:line="400" w:lineRule="exact"/>
        <w:ind w:firstLine="0" w:firstLineChars="0"/>
        <w:rPr>
          <w:rFonts w:ascii="宋体" w:hAnsi="宋体" w:cs="宋体"/>
          <w:color w:val="000000"/>
          <w:szCs w:val="21"/>
        </w:rPr>
      </w:pPr>
      <w:r>
        <w:rPr>
          <w:rFonts w:hint="eastAsia" w:ascii="宋体" w:hAnsi="宋体" w:cs="宋体"/>
          <w:color w:val="000000"/>
          <w:szCs w:val="21"/>
        </w:rPr>
        <w:t>甲方（盖章）：                            乙方（盖章）：</w:t>
      </w:r>
    </w:p>
    <w:p w14:paraId="66840414">
      <w:pPr>
        <w:adjustRightInd w:val="0"/>
        <w:snapToGrid w:val="0"/>
        <w:spacing w:before="156" w:beforeLines="50" w:line="400" w:lineRule="exact"/>
        <w:ind w:firstLine="0" w:firstLineChars="0"/>
        <w:rPr>
          <w:rFonts w:ascii="宋体" w:hAnsi="宋体" w:cs="宋体"/>
          <w:color w:val="000000"/>
          <w:szCs w:val="21"/>
        </w:rPr>
      </w:pPr>
      <w:r>
        <w:rPr>
          <w:rFonts w:hint="eastAsia" w:ascii="宋体" w:hAnsi="宋体" w:cs="宋体"/>
          <w:color w:val="000000"/>
          <w:szCs w:val="21"/>
        </w:rPr>
        <w:t>法定代表人或委托代理人（签字或盖章）：    法定代表人或委托代理人（签字或盖章）：</w:t>
      </w:r>
    </w:p>
    <w:p w14:paraId="51814CE5">
      <w:pPr>
        <w:adjustRightInd w:val="0"/>
        <w:snapToGrid w:val="0"/>
        <w:ind w:firstLine="0" w:firstLineChars="0"/>
        <w:rPr>
          <w:rFonts w:ascii="宋体" w:hAnsi="宋体" w:cs="宋体"/>
          <w:szCs w:val="21"/>
        </w:rPr>
      </w:pPr>
    </w:p>
    <w:p w14:paraId="1E01EED8">
      <w:pPr>
        <w:pStyle w:val="3"/>
        <w:numPr>
          <w:ilvl w:val="0"/>
          <w:numId w:val="9"/>
        </w:numPr>
      </w:pPr>
      <w:r>
        <w:rPr>
          <w:rFonts w:hint="eastAsia" w:ascii="仿宋" w:hAnsi="仿宋" w:eastAsia="仿宋" w:cs="仿宋"/>
          <w:sz w:val="28"/>
          <w:szCs w:val="28"/>
        </w:rPr>
        <w:br w:type="page"/>
      </w:r>
      <w:r>
        <w:t xml:space="preserve"> </w:t>
      </w:r>
      <w:r>
        <w:rPr>
          <w:rFonts w:hint="eastAsia"/>
        </w:rPr>
        <w:t xml:space="preserve"> </w:t>
      </w:r>
      <w:bookmarkStart w:id="42" w:name="_Toc19267"/>
      <w:r>
        <w:t>投标文件格式</w:t>
      </w:r>
      <w:bookmarkEnd w:id="26"/>
      <w:bookmarkEnd w:id="27"/>
      <w:bookmarkEnd w:id="42"/>
    </w:p>
    <w:p w14:paraId="5F0984D8">
      <w:pPr>
        <w:snapToGrid w:val="0"/>
        <w:spacing w:before="156" w:beforeLines="50" w:after="50"/>
        <w:ind w:firstLine="422"/>
        <w:rPr>
          <w:rFonts w:ascii="宋体" w:hAnsi="宋体" w:cs="宋体"/>
          <w:b/>
          <w:color w:val="000000"/>
          <w:szCs w:val="21"/>
        </w:rPr>
      </w:pPr>
      <w:r>
        <w:rPr>
          <w:rFonts w:hint="eastAsia" w:ascii="宋体" w:hAnsi="宋体" w:cs="宋体"/>
          <w:b/>
          <w:color w:val="000000"/>
          <w:szCs w:val="21"/>
        </w:rPr>
        <w:t>1.投标文件封面格式：</w:t>
      </w:r>
    </w:p>
    <w:p w14:paraId="493F308E">
      <w:pPr>
        <w:snapToGrid w:val="0"/>
        <w:spacing w:before="156" w:beforeLines="50" w:after="50"/>
        <w:ind w:firstLine="422"/>
        <w:rPr>
          <w:rFonts w:ascii="宋体" w:hAnsi="宋体" w:cs="宋体"/>
          <w:b/>
          <w:color w:val="000000"/>
          <w:szCs w:val="21"/>
        </w:rPr>
      </w:pPr>
    </w:p>
    <w:p w14:paraId="1819F862">
      <w:pPr>
        <w:snapToGrid w:val="0"/>
        <w:spacing w:before="156" w:beforeLines="50" w:after="50"/>
        <w:ind w:firstLine="420"/>
        <w:rPr>
          <w:rFonts w:ascii="宋体" w:hAnsi="宋体" w:cs="宋体"/>
          <w:bCs/>
          <w:color w:val="000000"/>
          <w:szCs w:val="21"/>
        </w:rPr>
      </w:pPr>
    </w:p>
    <w:p w14:paraId="7BBCED3F">
      <w:pPr>
        <w:snapToGrid w:val="0"/>
        <w:spacing w:before="156" w:beforeLines="50" w:after="50"/>
        <w:ind w:firstLine="960"/>
        <w:jc w:val="center"/>
        <w:rPr>
          <w:rFonts w:ascii="宋体" w:hAnsi="宋体" w:cs="宋体"/>
          <w:bCs/>
          <w:color w:val="000000"/>
          <w:sz w:val="48"/>
          <w:szCs w:val="48"/>
        </w:rPr>
      </w:pPr>
      <w:r>
        <w:rPr>
          <w:rFonts w:hint="eastAsia" w:ascii="宋体" w:hAnsi="宋体" w:cs="宋体"/>
          <w:bCs/>
          <w:color w:val="000000"/>
          <w:sz w:val="48"/>
          <w:szCs w:val="48"/>
        </w:rPr>
        <w:t>投标文件</w:t>
      </w:r>
    </w:p>
    <w:p w14:paraId="7D7869CC">
      <w:pPr>
        <w:snapToGrid w:val="0"/>
        <w:spacing w:before="156" w:beforeLines="50" w:after="50"/>
        <w:ind w:firstLine="6054" w:firstLineChars="2883"/>
        <w:rPr>
          <w:rFonts w:ascii="宋体" w:hAnsi="宋体" w:cs="宋体"/>
          <w:bCs/>
          <w:color w:val="000000"/>
          <w:szCs w:val="21"/>
        </w:rPr>
      </w:pPr>
    </w:p>
    <w:p w14:paraId="101790E1">
      <w:pPr>
        <w:snapToGrid w:val="0"/>
        <w:spacing w:before="156" w:beforeLines="50" w:after="50"/>
        <w:ind w:firstLine="1440" w:firstLineChars="450"/>
        <w:rPr>
          <w:rFonts w:ascii="宋体" w:hAnsi="宋体" w:cs="宋体"/>
          <w:bCs/>
          <w:color w:val="000000"/>
          <w:sz w:val="32"/>
          <w:szCs w:val="32"/>
        </w:rPr>
      </w:pPr>
      <w:r>
        <w:rPr>
          <w:rFonts w:hint="eastAsia" w:ascii="宋体" w:hAnsi="宋体" w:cs="宋体"/>
          <w:bCs/>
          <w:color w:val="000000"/>
          <w:sz w:val="32"/>
          <w:szCs w:val="32"/>
        </w:rPr>
        <w:t>项目名称：</w:t>
      </w:r>
    </w:p>
    <w:p w14:paraId="4C3CED67">
      <w:pPr>
        <w:snapToGrid w:val="0"/>
        <w:spacing w:before="156" w:beforeLines="50" w:after="50"/>
        <w:ind w:firstLine="1440" w:firstLineChars="450"/>
        <w:rPr>
          <w:rFonts w:ascii="宋体" w:hAnsi="宋体" w:cs="宋体"/>
          <w:bCs/>
          <w:color w:val="000000"/>
          <w:sz w:val="32"/>
          <w:szCs w:val="32"/>
        </w:rPr>
      </w:pPr>
      <w:r>
        <w:rPr>
          <w:rFonts w:hint="eastAsia" w:ascii="宋体" w:hAnsi="宋体" w:cs="宋体"/>
          <w:bCs/>
          <w:color w:val="000000"/>
          <w:sz w:val="32"/>
          <w:szCs w:val="32"/>
        </w:rPr>
        <w:t>项目编号：</w:t>
      </w:r>
    </w:p>
    <w:p w14:paraId="5D3264DB">
      <w:pPr>
        <w:snapToGrid w:val="0"/>
        <w:spacing w:before="156" w:beforeLines="50" w:after="50"/>
        <w:ind w:firstLine="640"/>
        <w:rPr>
          <w:rFonts w:ascii="宋体" w:hAnsi="宋体" w:cs="宋体"/>
          <w:bCs/>
          <w:color w:val="000000"/>
          <w:sz w:val="32"/>
          <w:szCs w:val="32"/>
        </w:rPr>
      </w:pPr>
    </w:p>
    <w:p w14:paraId="68DC3F3D">
      <w:pPr>
        <w:snapToGrid w:val="0"/>
        <w:spacing w:before="156" w:beforeLines="50" w:after="50"/>
        <w:ind w:firstLine="640"/>
        <w:rPr>
          <w:rFonts w:ascii="宋体" w:hAnsi="宋体" w:cs="宋体"/>
          <w:bCs/>
          <w:color w:val="000000"/>
          <w:sz w:val="32"/>
          <w:szCs w:val="32"/>
        </w:rPr>
      </w:pPr>
    </w:p>
    <w:p w14:paraId="328B7051">
      <w:pPr>
        <w:snapToGrid w:val="0"/>
        <w:spacing w:before="156" w:beforeLines="50" w:after="50"/>
        <w:ind w:firstLine="707" w:firstLineChars="221"/>
        <w:rPr>
          <w:rFonts w:ascii="宋体" w:hAnsi="宋体" w:cs="宋体"/>
          <w:bCs/>
          <w:color w:val="000000"/>
          <w:sz w:val="32"/>
          <w:szCs w:val="32"/>
        </w:rPr>
      </w:pPr>
      <w:r>
        <w:rPr>
          <w:rFonts w:hint="eastAsia" w:ascii="宋体" w:hAnsi="宋体" w:cs="宋体"/>
          <w:bCs/>
          <w:color w:val="000000"/>
          <w:sz w:val="32"/>
          <w:szCs w:val="32"/>
        </w:rPr>
        <w:t>投标人名称（加盖公章）：</w:t>
      </w:r>
    </w:p>
    <w:p w14:paraId="3E7501F4">
      <w:pPr>
        <w:snapToGrid w:val="0"/>
        <w:spacing w:before="156" w:beforeLines="50" w:after="50"/>
        <w:ind w:firstLine="707" w:firstLineChars="221"/>
        <w:rPr>
          <w:rFonts w:ascii="宋体" w:hAnsi="宋体" w:cs="宋体"/>
          <w:bCs/>
          <w:color w:val="000000"/>
          <w:sz w:val="32"/>
          <w:szCs w:val="32"/>
        </w:rPr>
      </w:pPr>
      <w:r>
        <w:rPr>
          <w:rFonts w:hint="eastAsia" w:ascii="宋体" w:hAnsi="宋体" w:cs="宋体"/>
          <w:bCs/>
          <w:color w:val="000000"/>
          <w:sz w:val="32"/>
          <w:szCs w:val="32"/>
        </w:rPr>
        <w:t>投标人地址：</w:t>
      </w:r>
    </w:p>
    <w:p w14:paraId="1E1B9C46">
      <w:pPr>
        <w:snapToGrid w:val="0"/>
        <w:spacing w:before="50" w:after="50"/>
        <w:ind w:firstLine="640"/>
        <w:jc w:val="center"/>
        <w:outlineLvl w:val="1"/>
        <w:rPr>
          <w:rFonts w:ascii="宋体" w:hAnsi="宋体" w:cs="宋体"/>
          <w:color w:val="000000"/>
          <w:sz w:val="32"/>
          <w:szCs w:val="32"/>
        </w:rPr>
      </w:pPr>
      <w:r>
        <w:rPr>
          <w:rFonts w:hint="eastAsia" w:ascii="宋体" w:hAnsi="宋体" w:cs="宋体"/>
          <w:bCs/>
          <w:color w:val="000000"/>
          <w:sz w:val="32"/>
          <w:szCs w:val="32"/>
        </w:rPr>
        <w:t>年    月    日</w:t>
      </w:r>
    </w:p>
    <w:p w14:paraId="653E9514">
      <w:pPr>
        <w:snapToGrid w:val="0"/>
        <w:spacing w:before="156" w:beforeLines="50" w:after="50"/>
        <w:ind w:firstLine="640"/>
        <w:jc w:val="center"/>
        <w:rPr>
          <w:rFonts w:ascii="宋体" w:hAnsi="宋体" w:cs="宋体"/>
          <w:color w:val="000000"/>
          <w:sz w:val="32"/>
          <w:szCs w:val="32"/>
        </w:rPr>
      </w:pPr>
    </w:p>
    <w:p w14:paraId="7CE178CB">
      <w:pPr>
        <w:pStyle w:val="4"/>
        <w:spacing w:before="156"/>
        <w:rPr>
          <w:color w:val="auto"/>
        </w:rPr>
        <w:sectPr>
          <w:headerReference r:id="rId12" w:type="default"/>
          <w:footerReference r:id="rId13" w:type="default"/>
          <w:pgSz w:w="11906" w:h="16838"/>
          <w:pgMar w:top="1440" w:right="1558" w:bottom="1440" w:left="1800" w:header="851" w:footer="992" w:gutter="0"/>
          <w:cols w:space="720" w:num="1"/>
          <w:docGrid w:type="lines" w:linePitch="312" w:charSpace="0"/>
        </w:sectPr>
      </w:pPr>
    </w:p>
    <w:p w14:paraId="5EC468B8">
      <w:pPr>
        <w:pStyle w:val="4"/>
        <w:spacing w:before="0" w:beforeLines="0"/>
        <w:rPr>
          <w:color w:val="auto"/>
        </w:rPr>
      </w:pPr>
      <w:r>
        <w:rPr>
          <w:rFonts w:hint="eastAsia"/>
          <w:color w:val="auto"/>
        </w:rPr>
        <w:t>2</w:t>
      </w:r>
      <w:r>
        <w:rPr>
          <w:color w:val="auto"/>
        </w:rPr>
        <w:t>. 投标文件目录：未提供格式部分由投标人自拟</w:t>
      </w:r>
    </w:p>
    <w:p w14:paraId="72F9D81A">
      <w:pPr>
        <w:spacing w:line="240" w:lineRule="auto"/>
        <w:ind w:firstLine="420"/>
        <w:rPr>
          <w:szCs w:val="21"/>
        </w:rPr>
      </w:pPr>
      <w:r>
        <w:rPr>
          <w:szCs w:val="21"/>
        </w:rPr>
        <w:t>投标文件分为价格标、商务技术标、资审文件三部分</w:t>
      </w:r>
      <w:r>
        <w:rPr>
          <w:rFonts w:hint="eastAsia"/>
          <w:szCs w:val="21"/>
        </w:rPr>
        <w:t>，</w:t>
      </w:r>
      <w:r>
        <w:rPr>
          <w:szCs w:val="21"/>
        </w:rPr>
        <w:t>投标人应分别编制、上传各部分内容，商务技术标、资审文件不得出现本项目的“价格标”内容及投标报价，否则作无效标处理。</w:t>
      </w:r>
    </w:p>
    <w:p w14:paraId="6229E499">
      <w:pPr>
        <w:ind w:firstLine="420"/>
        <w:rPr>
          <w:lang w:val="zh-CN"/>
        </w:rPr>
      </w:pPr>
      <w:r>
        <w:rPr>
          <w:lang w:val="zh-CN"/>
        </w:rPr>
        <w:t>第</w:t>
      </w:r>
      <w:r>
        <w:rPr>
          <w:rFonts w:hint="eastAsia"/>
        </w:rPr>
        <w:t>一</w:t>
      </w:r>
      <w:r>
        <w:rPr>
          <w:lang w:val="zh-CN"/>
        </w:rPr>
        <w:t>部分：</w:t>
      </w:r>
      <w:r>
        <w:rPr>
          <w:szCs w:val="21"/>
        </w:rPr>
        <w:t>资审文件</w:t>
      </w:r>
      <w:r>
        <w:rPr>
          <w:rFonts w:hint="eastAsia" w:ascii="宋体" w:hAnsi="宋体" w:cs="宋体"/>
          <w:szCs w:val="21"/>
        </w:rPr>
        <w:t>（</w:t>
      </w:r>
      <w:r>
        <w:rPr>
          <w:rFonts w:hint="eastAsia" w:ascii="宋体" w:hAnsi="宋体" w:cs="宋体"/>
          <w:b/>
          <w:bCs/>
          <w:szCs w:val="21"/>
        </w:rPr>
        <w:t>★不得出现本项目的“价格标”内容及投标报价，否则作无效标处理</w:t>
      </w:r>
      <w:r>
        <w:rPr>
          <w:rFonts w:hint="eastAsia" w:ascii="宋体" w:hAnsi="宋体" w:cs="宋体"/>
          <w:szCs w:val="21"/>
        </w:rPr>
        <w:t>）</w:t>
      </w:r>
    </w:p>
    <w:p w14:paraId="4B64E6DA">
      <w:pPr>
        <w:ind w:firstLine="420"/>
        <w:rPr>
          <w:lang w:val="zh-CN"/>
        </w:rPr>
      </w:pPr>
      <w:r>
        <w:rPr>
          <w:lang w:val="zh-CN"/>
        </w:rPr>
        <w:t>（1）法定代表人资格证明书或法定代表人授权委托书；</w:t>
      </w:r>
    </w:p>
    <w:p w14:paraId="04981F09">
      <w:pPr>
        <w:ind w:firstLine="420"/>
        <w:rPr>
          <w:lang w:val="zh-CN"/>
        </w:rPr>
      </w:pPr>
      <w:r>
        <w:rPr>
          <w:lang w:val="zh-CN"/>
        </w:rPr>
        <w:t>（2）有效的营业执照扫描件；</w:t>
      </w:r>
    </w:p>
    <w:p w14:paraId="0BDED6EF">
      <w:pPr>
        <w:ind w:firstLine="420"/>
        <w:rPr>
          <w:lang w:val="zh-CN"/>
        </w:rPr>
      </w:pPr>
      <w:r>
        <w:rPr>
          <w:lang w:val="zh-CN"/>
        </w:rPr>
        <w:t>（3）投标人资格声明函；</w:t>
      </w:r>
    </w:p>
    <w:p w14:paraId="7148554C">
      <w:pPr>
        <w:ind w:firstLine="420"/>
        <w:rPr>
          <w:lang w:val="zh-CN"/>
        </w:rPr>
      </w:pPr>
      <w:r>
        <w:rPr>
          <w:lang w:val="zh-CN"/>
        </w:rPr>
        <w:t>（4）</w:t>
      </w:r>
      <w:r>
        <w:rPr>
          <w:rFonts w:hint="eastAsia"/>
        </w:rPr>
        <w:t>承诺书</w:t>
      </w:r>
      <w:r>
        <w:rPr>
          <w:lang w:val="zh-CN"/>
        </w:rPr>
        <w:t>；</w:t>
      </w:r>
    </w:p>
    <w:p w14:paraId="53B144E7">
      <w:pPr>
        <w:ind w:firstLine="420"/>
        <w:rPr>
          <w:lang w:val="zh-CN"/>
        </w:rPr>
      </w:pPr>
      <w:r>
        <w:rPr>
          <w:lang w:val="zh-CN"/>
        </w:rPr>
        <w:t>（5）招标文件要求的或投标人认为有必要提供的其他情况说明或资质证书。</w:t>
      </w:r>
    </w:p>
    <w:p w14:paraId="1DFBD98C">
      <w:pPr>
        <w:ind w:firstLine="420"/>
        <w:rPr>
          <w:lang w:val="zh-CN"/>
        </w:rPr>
      </w:pPr>
      <w:r>
        <w:rPr>
          <w:lang w:val="zh-CN"/>
        </w:rPr>
        <w:t>第二部分：</w:t>
      </w:r>
      <w:r>
        <w:rPr>
          <w:szCs w:val="21"/>
        </w:rPr>
        <w:t>商务技术标</w:t>
      </w:r>
      <w:r>
        <w:rPr>
          <w:rFonts w:hint="eastAsia" w:ascii="宋体" w:hAnsi="宋体" w:cs="宋体"/>
          <w:szCs w:val="21"/>
        </w:rPr>
        <w:t>（</w:t>
      </w:r>
      <w:r>
        <w:rPr>
          <w:rFonts w:hint="eastAsia" w:ascii="宋体" w:hAnsi="宋体" w:cs="宋体"/>
          <w:b/>
          <w:bCs/>
          <w:szCs w:val="21"/>
        </w:rPr>
        <w:t>★不得出现本项目的“价格标”内容及投标报价，否则作无效标处理</w:t>
      </w:r>
      <w:r>
        <w:rPr>
          <w:rFonts w:hint="eastAsia" w:ascii="宋体" w:hAnsi="宋体" w:cs="宋体"/>
          <w:szCs w:val="21"/>
        </w:rPr>
        <w:t>）</w:t>
      </w:r>
    </w:p>
    <w:p w14:paraId="4C86FBF8">
      <w:pPr>
        <w:ind w:firstLine="420"/>
        <w:rPr>
          <w:lang w:val="zh-CN"/>
        </w:rPr>
      </w:pPr>
      <w:r>
        <w:rPr>
          <w:lang w:val="zh-CN"/>
        </w:rPr>
        <w:t>（1）商务响应表；</w:t>
      </w:r>
    </w:p>
    <w:p w14:paraId="05EA13AC">
      <w:pPr>
        <w:ind w:firstLine="420"/>
        <w:rPr>
          <w:lang w:val="zh-CN"/>
        </w:rPr>
      </w:pPr>
      <w:r>
        <w:rPr>
          <w:lang w:val="zh-CN"/>
        </w:rPr>
        <w:t xml:space="preserve">（2）技术响应表； </w:t>
      </w:r>
    </w:p>
    <w:p w14:paraId="6C3DB382">
      <w:pPr>
        <w:ind w:firstLine="420"/>
        <w:rPr>
          <w:lang w:val="zh-CN"/>
        </w:rPr>
      </w:pPr>
      <w:r>
        <w:rPr>
          <w:lang w:val="zh-CN"/>
        </w:rPr>
        <w:t>（3）业绩；</w:t>
      </w:r>
    </w:p>
    <w:p w14:paraId="5700B41B">
      <w:pPr>
        <w:ind w:firstLine="420"/>
        <w:rPr>
          <w:lang w:val="zh-CN"/>
        </w:rPr>
      </w:pPr>
      <w:r>
        <w:rPr>
          <w:lang w:val="zh-CN"/>
        </w:rPr>
        <w:t>（4）投标人基本情况表；</w:t>
      </w:r>
    </w:p>
    <w:p w14:paraId="2018B44F">
      <w:pPr>
        <w:ind w:firstLine="420"/>
        <w:rPr>
          <w:lang w:val="zh-CN"/>
        </w:rPr>
      </w:pPr>
      <w:r>
        <w:rPr>
          <w:lang w:val="zh-CN"/>
        </w:rPr>
        <w:t>（</w:t>
      </w:r>
      <w:r>
        <w:rPr>
          <w:rFonts w:hint="eastAsia"/>
        </w:rPr>
        <w:t>5</w:t>
      </w:r>
      <w:r>
        <w:rPr>
          <w:lang w:val="zh-CN"/>
        </w:rPr>
        <w:t>）商务技术标评审所涉及的其他资料（若有，格式自拟）；</w:t>
      </w:r>
    </w:p>
    <w:p w14:paraId="018EB67C">
      <w:pPr>
        <w:ind w:firstLine="420"/>
        <w:rPr>
          <w:lang w:val="zh-CN"/>
        </w:rPr>
      </w:pPr>
      <w:r>
        <w:rPr>
          <w:lang w:val="zh-CN"/>
        </w:rPr>
        <w:t>（</w:t>
      </w:r>
      <w:r>
        <w:rPr>
          <w:rFonts w:hint="eastAsia"/>
        </w:rPr>
        <w:t>6</w:t>
      </w:r>
      <w:r>
        <w:rPr>
          <w:lang w:val="zh-CN"/>
        </w:rPr>
        <w:t>）投标人需要特别说明的其他文件（若有，格式自拟）。</w:t>
      </w:r>
    </w:p>
    <w:p w14:paraId="04AAAE43">
      <w:pPr>
        <w:ind w:firstLine="420"/>
        <w:rPr>
          <w:lang w:val="zh-CN"/>
        </w:rPr>
      </w:pPr>
      <w:r>
        <w:rPr>
          <w:lang w:val="zh-CN"/>
        </w:rPr>
        <w:t>第</w:t>
      </w:r>
      <w:r>
        <w:rPr>
          <w:rFonts w:hint="eastAsia"/>
        </w:rPr>
        <w:t>三</w:t>
      </w:r>
      <w:r>
        <w:rPr>
          <w:lang w:val="zh-CN"/>
        </w:rPr>
        <w:t>部分：</w:t>
      </w:r>
      <w:r>
        <w:rPr>
          <w:szCs w:val="21"/>
        </w:rPr>
        <w:t>价格标</w:t>
      </w:r>
    </w:p>
    <w:p w14:paraId="0AC610AE">
      <w:pPr>
        <w:ind w:firstLine="420"/>
        <w:rPr>
          <w:lang w:val="zh-CN"/>
        </w:rPr>
      </w:pPr>
      <w:r>
        <w:rPr>
          <w:lang w:val="zh-CN"/>
        </w:rPr>
        <w:t>（1）投标函；</w:t>
      </w:r>
    </w:p>
    <w:p w14:paraId="14B1F323">
      <w:pPr>
        <w:ind w:firstLine="420"/>
        <w:rPr>
          <w:lang w:val="zh-CN"/>
        </w:rPr>
      </w:pPr>
      <w:r>
        <w:rPr>
          <w:lang w:val="zh-CN"/>
        </w:rPr>
        <w:t>（2）</w:t>
      </w:r>
      <w:r>
        <w:rPr>
          <w:rFonts w:hint="eastAsia"/>
          <w:lang w:val="zh-CN"/>
        </w:rPr>
        <w:t>开标一览表</w:t>
      </w:r>
      <w:r>
        <w:rPr>
          <w:lang w:val="zh-CN"/>
        </w:rPr>
        <w:t>；</w:t>
      </w:r>
    </w:p>
    <w:p w14:paraId="2296A828">
      <w:pPr>
        <w:ind w:firstLine="420"/>
        <w:rPr>
          <w:lang w:val="zh-CN"/>
        </w:rPr>
      </w:pPr>
      <w:r>
        <w:rPr>
          <w:lang w:val="zh-CN"/>
        </w:rPr>
        <w:t>（3）投标人针对报价需要说明的其他文件和说明（格式自拟）。</w:t>
      </w:r>
    </w:p>
    <w:p w14:paraId="035E37B5">
      <w:pPr>
        <w:ind w:firstLine="420"/>
        <w:rPr>
          <w:szCs w:val="21"/>
        </w:rPr>
      </w:pPr>
      <w:r>
        <w:rPr>
          <w:lang w:val="zh-CN"/>
        </w:rPr>
        <w:t>注：以上投标资料所要求为扫描件，均须加盖公章。中标后招标人</w:t>
      </w:r>
      <w:r>
        <w:t>有权</w:t>
      </w:r>
      <w:r>
        <w:rPr>
          <w:lang w:val="zh-CN"/>
        </w:rPr>
        <w:t>对中标单位相关资料进行原件核实，若有虚假，则取消中标资格，并追究相应责任。</w:t>
      </w:r>
    </w:p>
    <w:p w14:paraId="37B6A697">
      <w:pPr>
        <w:pStyle w:val="4"/>
        <w:spacing w:before="156"/>
        <w:rPr>
          <w:color w:val="auto"/>
        </w:rPr>
      </w:pPr>
      <w:r>
        <w:rPr>
          <w:bCs/>
          <w:color w:val="auto"/>
        </w:rPr>
        <w:br w:type="page"/>
      </w:r>
      <w:r>
        <w:rPr>
          <w:color w:val="auto"/>
        </w:rPr>
        <w:t>第</w:t>
      </w:r>
      <w:r>
        <w:rPr>
          <w:rFonts w:hint="eastAsia"/>
          <w:color w:val="auto"/>
        </w:rPr>
        <w:t>一</w:t>
      </w:r>
      <w:r>
        <w:rPr>
          <w:color w:val="auto"/>
        </w:rPr>
        <w:t>部分：资审文件</w:t>
      </w:r>
    </w:p>
    <w:p w14:paraId="4F8B5761">
      <w:pPr>
        <w:pStyle w:val="5"/>
        <w:ind w:firstLine="422"/>
      </w:pPr>
      <w:r>
        <w:t>1. 法定代表人身份证明书</w:t>
      </w:r>
      <w:r>
        <w:rPr>
          <w:lang w:val="zh-CN"/>
        </w:rPr>
        <w:t>或法定代表人授权委托书</w:t>
      </w:r>
    </w:p>
    <w:p w14:paraId="703E636D">
      <w:pPr>
        <w:spacing w:line="640" w:lineRule="exact"/>
        <w:ind w:firstLine="0" w:firstLineChars="0"/>
        <w:jc w:val="center"/>
        <w:rPr>
          <w:b/>
          <w:szCs w:val="21"/>
        </w:rPr>
      </w:pPr>
      <w:r>
        <w:rPr>
          <w:b/>
          <w:szCs w:val="21"/>
        </w:rPr>
        <w:t>法定代表人身份证明书</w:t>
      </w:r>
    </w:p>
    <w:p w14:paraId="2F20B577">
      <w:pPr>
        <w:spacing w:line="640" w:lineRule="exact"/>
        <w:ind w:firstLine="422"/>
        <w:jc w:val="center"/>
        <w:rPr>
          <w:b/>
          <w:szCs w:val="21"/>
        </w:rPr>
      </w:pPr>
    </w:p>
    <w:p w14:paraId="5F39138D">
      <w:pPr>
        <w:spacing w:line="600" w:lineRule="exact"/>
        <w:ind w:firstLine="420"/>
        <w:jc w:val="left"/>
        <w:rPr>
          <w:szCs w:val="21"/>
          <w:u w:val="single"/>
        </w:rPr>
      </w:pPr>
      <w:r>
        <w:rPr>
          <w:szCs w:val="21"/>
        </w:rPr>
        <w:t>投标人名称：</w:t>
      </w:r>
    </w:p>
    <w:p w14:paraId="4E1FF86B">
      <w:pPr>
        <w:spacing w:line="600" w:lineRule="exact"/>
        <w:ind w:firstLine="420"/>
        <w:jc w:val="left"/>
        <w:rPr>
          <w:szCs w:val="21"/>
          <w:u w:val="single"/>
        </w:rPr>
      </w:pPr>
      <w:r>
        <w:rPr>
          <w:szCs w:val="21"/>
        </w:rPr>
        <w:t>单位性质：</w:t>
      </w:r>
    </w:p>
    <w:p w14:paraId="78320FF2">
      <w:pPr>
        <w:spacing w:line="600" w:lineRule="exact"/>
        <w:ind w:firstLine="420"/>
        <w:jc w:val="left"/>
        <w:rPr>
          <w:szCs w:val="21"/>
          <w:u w:val="single"/>
        </w:rPr>
      </w:pPr>
      <w:r>
        <w:rPr>
          <w:szCs w:val="21"/>
        </w:rPr>
        <w:t>地址：</w:t>
      </w:r>
    </w:p>
    <w:p w14:paraId="66728501">
      <w:pPr>
        <w:spacing w:line="600" w:lineRule="exact"/>
        <w:ind w:firstLine="420"/>
        <w:rPr>
          <w:szCs w:val="21"/>
        </w:rPr>
      </w:pPr>
      <w:r>
        <w:rPr>
          <w:szCs w:val="21"/>
        </w:rPr>
        <w:t>成立时间：    年   月   日</w:t>
      </w:r>
    </w:p>
    <w:p w14:paraId="451A8F2D">
      <w:pPr>
        <w:spacing w:line="600" w:lineRule="exact"/>
        <w:ind w:firstLine="420"/>
        <w:jc w:val="left"/>
        <w:rPr>
          <w:szCs w:val="21"/>
          <w:u w:val="single"/>
        </w:rPr>
      </w:pPr>
      <w:r>
        <w:rPr>
          <w:szCs w:val="21"/>
        </w:rPr>
        <w:t>经营期限：</w:t>
      </w:r>
    </w:p>
    <w:p w14:paraId="526ECEE2">
      <w:pPr>
        <w:spacing w:line="600" w:lineRule="exact"/>
        <w:ind w:firstLine="420"/>
        <w:rPr>
          <w:szCs w:val="21"/>
          <w:u w:val="single"/>
        </w:rPr>
      </w:pPr>
      <w:r>
        <w:rPr>
          <w:szCs w:val="21"/>
        </w:rPr>
        <w:t>姓名：          性别：          年龄：           职务：</w:t>
      </w:r>
    </w:p>
    <w:p w14:paraId="0B0405D4">
      <w:pPr>
        <w:spacing w:line="600" w:lineRule="exact"/>
        <w:ind w:firstLine="420"/>
        <w:rPr>
          <w:szCs w:val="21"/>
        </w:rPr>
      </w:pPr>
      <w:r>
        <w:rPr>
          <w:szCs w:val="21"/>
        </w:rPr>
        <w:t>系（</w:t>
      </w:r>
      <w:r>
        <w:rPr>
          <w:szCs w:val="21"/>
          <w:u w:val="single"/>
        </w:rPr>
        <w:t>投标人名称）</w:t>
      </w:r>
      <w:r>
        <w:rPr>
          <w:szCs w:val="21"/>
        </w:rPr>
        <w:t>的法定代表人。</w:t>
      </w:r>
    </w:p>
    <w:p w14:paraId="49D48DEE">
      <w:pPr>
        <w:spacing w:line="640" w:lineRule="exact"/>
        <w:ind w:firstLine="420"/>
        <w:rPr>
          <w:szCs w:val="21"/>
        </w:rPr>
      </w:pPr>
      <w:r>
        <w:rPr>
          <w:szCs w:val="21"/>
        </w:rPr>
        <w:t>特此证明。</w:t>
      </w:r>
    </w:p>
    <w:p w14:paraId="440216D6">
      <w:pPr>
        <w:spacing w:line="640" w:lineRule="exact"/>
        <w:ind w:firstLine="411" w:firstLineChars="196"/>
        <w:rPr>
          <w:szCs w:val="21"/>
        </w:rPr>
      </w:pPr>
      <w:r>
        <w:rPr>
          <w:szCs w:val="21"/>
        </w:rPr>
        <w:t>附：法定代表人身份证正反面复印件。</w:t>
      </w:r>
    </w:p>
    <w:p w14:paraId="76743022">
      <w:pPr>
        <w:spacing w:line="640" w:lineRule="exact"/>
        <w:ind w:firstLine="411" w:firstLineChars="196"/>
        <w:rPr>
          <w:szCs w:val="21"/>
        </w:rPr>
      </w:pPr>
    </w:p>
    <w:p w14:paraId="60F0108D">
      <w:pPr>
        <w:widowControl/>
        <w:spacing w:before="156" w:beforeLines="50" w:after="156" w:afterLines="50"/>
        <w:ind w:firstLine="420"/>
        <w:rPr>
          <w:szCs w:val="21"/>
          <w:u w:val="single"/>
        </w:rPr>
      </w:pPr>
      <w:r>
        <w:rPr>
          <w:szCs w:val="21"/>
        </w:rPr>
        <w:t>投标人（盖公章）：</w:t>
      </w:r>
    </w:p>
    <w:p w14:paraId="3F0B0A32">
      <w:pPr>
        <w:widowControl/>
        <w:tabs>
          <w:tab w:val="left" w:pos="4080"/>
        </w:tabs>
        <w:spacing w:before="156" w:beforeLines="50" w:after="156" w:afterLines="50"/>
        <w:ind w:firstLine="420"/>
        <w:rPr>
          <w:szCs w:val="21"/>
          <w:u w:val="single"/>
        </w:rPr>
      </w:pPr>
      <w:r>
        <w:rPr>
          <w:szCs w:val="21"/>
        </w:rPr>
        <w:t>法定代表人（签章）：</w:t>
      </w:r>
    </w:p>
    <w:p w14:paraId="43FE38E9">
      <w:pPr>
        <w:ind w:firstLine="420"/>
        <w:jc w:val="left"/>
        <w:rPr>
          <w:szCs w:val="21"/>
        </w:rPr>
      </w:pPr>
      <w:r>
        <w:rPr>
          <w:szCs w:val="21"/>
        </w:rPr>
        <w:t>日期：   年   月   日</w:t>
      </w:r>
    </w:p>
    <w:p w14:paraId="47F66C3B">
      <w:pPr>
        <w:ind w:firstLine="3570" w:firstLineChars="1700"/>
        <w:rPr>
          <w:szCs w:val="21"/>
          <w:u w:val="single"/>
        </w:rPr>
      </w:pPr>
    </w:p>
    <w:tbl>
      <w:tblPr>
        <w:tblStyle w:val="44"/>
        <w:tblW w:w="8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1"/>
      </w:tblGrid>
      <w:tr w14:paraId="626D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8071" w:type="dxa"/>
          </w:tcPr>
          <w:p w14:paraId="2E23D2E7">
            <w:pPr>
              <w:ind w:firstLine="0" w:firstLineChars="0"/>
              <w:rPr>
                <w:szCs w:val="21"/>
              </w:rPr>
            </w:pPr>
          </w:p>
          <w:p w14:paraId="315664B2">
            <w:pPr>
              <w:ind w:firstLine="420"/>
              <w:jc w:val="center"/>
              <w:rPr>
                <w:szCs w:val="21"/>
              </w:rPr>
            </w:pPr>
          </w:p>
          <w:p w14:paraId="0128921D">
            <w:pPr>
              <w:ind w:firstLine="420"/>
              <w:jc w:val="center"/>
              <w:rPr>
                <w:szCs w:val="21"/>
              </w:rPr>
            </w:pPr>
            <w:r>
              <w:rPr>
                <w:szCs w:val="21"/>
              </w:rPr>
              <w:t>法定代表人身份证正反面复印件</w:t>
            </w:r>
          </w:p>
        </w:tc>
      </w:tr>
    </w:tbl>
    <w:p w14:paraId="4AC5AEE7">
      <w:pPr>
        <w:snapToGrid w:val="0"/>
        <w:spacing w:before="156" w:beforeLines="50" w:after="50"/>
        <w:ind w:firstLine="0" w:firstLineChars="0"/>
        <w:jc w:val="center"/>
        <w:rPr>
          <w:b/>
          <w:szCs w:val="21"/>
        </w:rPr>
      </w:pPr>
      <w:r>
        <w:rPr>
          <w:b/>
          <w:szCs w:val="21"/>
        </w:rPr>
        <w:br w:type="page"/>
      </w:r>
      <w:r>
        <w:rPr>
          <w:b/>
          <w:szCs w:val="21"/>
        </w:rPr>
        <w:t>法定代表人授权委托书</w:t>
      </w:r>
    </w:p>
    <w:p w14:paraId="65B3C735">
      <w:pPr>
        <w:snapToGrid w:val="0"/>
        <w:spacing w:before="156" w:beforeLines="50" w:after="50"/>
        <w:ind w:firstLine="420"/>
        <w:rPr>
          <w:b/>
          <w:bCs/>
          <w:szCs w:val="21"/>
        </w:rPr>
      </w:pPr>
      <w:r>
        <w:rPr>
          <w:bCs/>
          <w:szCs w:val="21"/>
        </w:rPr>
        <w:t>致</w:t>
      </w:r>
      <w:r>
        <w:rPr>
          <w:szCs w:val="21"/>
        </w:rPr>
        <w:t>招标人：</w:t>
      </w:r>
    </w:p>
    <w:p w14:paraId="18286E87">
      <w:pPr>
        <w:snapToGrid w:val="0"/>
        <w:spacing w:before="156" w:beforeLines="50" w:after="50"/>
        <w:ind w:firstLine="420"/>
        <w:rPr>
          <w:szCs w:val="21"/>
        </w:rPr>
      </w:pPr>
      <w:r>
        <w:rPr>
          <w:szCs w:val="21"/>
        </w:rPr>
        <w:t>我</w:t>
      </w:r>
      <w:r>
        <w:rPr>
          <w:szCs w:val="21"/>
          <w:u w:val="single"/>
        </w:rPr>
        <w:t>（姓名）</w:t>
      </w:r>
      <w:r>
        <w:rPr>
          <w:szCs w:val="21"/>
        </w:rPr>
        <w:t>系</w:t>
      </w:r>
      <w:r>
        <w:rPr>
          <w:szCs w:val="21"/>
          <w:u w:val="single"/>
        </w:rPr>
        <w:t>（投标人名称）</w:t>
      </w:r>
      <w:r>
        <w:rPr>
          <w:szCs w:val="21"/>
        </w:rPr>
        <w:t>的法定代表人，现授权委托本单位在职职工</w:t>
      </w:r>
      <w:r>
        <w:rPr>
          <w:szCs w:val="21"/>
          <w:u w:val="single"/>
        </w:rPr>
        <w:t>（姓名）</w:t>
      </w:r>
      <w:r>
        <w:rPr>
          <w:szCs w:val="21"/>
        </w:rPr>
        <w:t>以我方的名义参加</w:t>
      </w:r>
      <w:r>
        <w:rPr>
          <w:szCs w:val="21"/>
          <w:u w:val="single"/>
        </w:rPr>
        <w:t xml:space="preserve">      （项目名称）        </w:t>
      </w:r>
      <w:r>
        <w:rPr>
          <w:szCs w:val="21"/>
        </w:rPr>
        <w:t>项目的投标活动，并代表我方全权办理针对上述项目的投标、开标、评标、签约等具体事务和签署相关文件。</w:t>
      </w:r>
    </w:p>
    <w:p w14:paraId="5E05299B">
      <w:pPr>
        <w:snapToGrid w:val="0"/>
        <w:spacing w:before="156" w:beforeLines="50" w:after="50"/>
        <w:ind w:firstLine="420"/>
        <w:rPr>
          <w:szCs w:val="21"/>
        </w:rPr>
      </w:pPr>
      <w:r>
        <w:rPr>
          <w:szCs w:val="21"/>
        </w:rPr>
        <w:t>我方对被授权人的签名事项负全部责任。</w:t>
      </w:r>
    </w:p>
    <w:p w14:paraId="6CB337A7">
      <w:pPr>
        <w:snapToGrid w:val="0"/>
        <w:spacing w:before="156" w:beforeLines="50" w:after="50"/>
        <w:ind w:firstLine="420"/>
        <w:rPr>
          <w:szCs w:val="21"/>
        </w:rPr>
      </w:pPr>
      <w:r>
        <w:rPr>
          <w:szCs w:val="21"/>
          <w:u w:val="single"/>
        </w:rPr>
        <w:t>在撤销授权的书面通知以前，本授权书一直有效。</w:t>
      </w:r>
      <w:r>
        <w:rPr>
          <w:szCs w:val="21"/>
        </w:rPr>
        <w:t>被授权人在授权书有效期内签署的所有文件不因授权的撤销而失效。</w:t>
      </w:r>
    </w:p>
    <w:p w14:paraId="2EAB9245">
      <w:pPr>
        <w:snapToGrid w:val="0"/>
        <w:spacing w:before="156" w:beforeLines="50" w:after="50"/>
        <w:ind w:firstLine="420"/>
        <w:rPr>
          <w:szCs w:val="21"/>
        </w:rPr>
      </w:pPr>
      <w:r>
        <w:rPr>
          <w:szCs w:val="21"/>
        </w:rPr>
        <w:t>被授权人无转委托权，特此委托。</w:t>
      </w:r>
    </w:p>
    <w:p w14:paraId="1F5CD573">
      <w:pPr>
        <w:snapToGrid w:val="0"/>
        <w:spacing w:before="156" w:beforeLines="50" w:after="50"/>
        <w:ind w:firstLine="420"/>
        <w:rPr>
          <w:szCs w:val="21"/>
        </w:rPr>
      </w:pPr>
    </w:p>
    <w:p w14:paraId="6F2D1D6D">
      <w:pPr>
        <w:snapToGrid w:val="0"/>
        <w:spacing w:before="156" w:beforeLines="50" w:after="50"/>
        <w:ind w:firstLine="420"/>
        <w:rPr>
          <w:szCs w:val="21"/>
          <w:u w:val="single"/>
        </w:rPr>
      </w:pPr>
      <w:r>
        <w:rPr>
          <w:szCs w:val="21"/>
        </w:rPr>
        <w:t>被授权人（签章）：                  法定代表人（签章）：</w:t>
      </w:r>
    </w:p>
    <w:p w14:paraId="413F6F6A">
      <w:pPr>
        <w:snapToGrid w:val="0"/>
        <w:spacing w:before="156" w:beforeLines="50" w:after="50"/>
        <w:ind w:firstLine="420"/>
        <w:rPr>
          <w:szCs w:val="21"/>
        </w:rPr>
      </w:pPr>
      <w:r>
        <w:rPr>
          <w:szCs w:val="21"/>
        </w:rPr>
        <w:t>职务：                              职务：</w:t>
      </w:r>
    </w:p>
    <w:p w14:paraId="7D05FC50">
      <w:pPr>
        <w:snapToGrid w:val="0"/>
        <w:spacing w:before="156" w:beforeLines="50" w:after="50"/>
        <w:ind w:firstLine="420"/>
        <w:rPr>
          <w:szCs w:val="21"/>
        </w:rPr>
      </w:pPr>
      <w:r>
        <w:rPr>
          <w:szCs w:val="21"/>
        </w:rPr>
        <w:t>被授权人手机号码：</w:t>
      </w:r>
    </w:p>
    <w:p w14:paraId="38C3E735">
      <w:pPr>
        <w:snapToGrid w:val="0"/>
        <w:spacing w:before="156" w:beforeLines="50" w:after="50"/>
        <w:ind w:firstLine="0" w:firstLineChars="0"/>
        <w:rPr>
          <w:szCs w:val="21"/>
        </w:rPr>
      </w:pPr>
    </w:p>
    <w:p w14:paraId="74A63DF1">
      <w:pPr>
        <w:snapToGrid w:val="0"/>
        <w:spacing w:before="156" w:beforeLines="50" w:after="50"/>
        <w:ind w:firstLine="420"/>
        <w:rPr>
          <w:szCs w:val="21"/>
        </w:rPr>
      </w:pPr>
      <w:r>
        <w:rPr>
          <w:szCs w:val="21"/>
        </w:rPr>
        <w:t>投标人（盖章）：</w:t>
      </w:r>
    </w:p>
    <w:p w14:paraId="1EB2ECD9">
      <w:pPr>
        <w:snapToGrid w:val="0"/>
        <w:spacing w:before="156" w:beforeLines="50" w:after="50"/>
        <w:ind w:firstLine="420"/>
        <w:rPr>
          <w:sz w:val="22"/>
          <w:szCs w:val="22"/>
        </w:rPr>
      </w:pPr>
      <w:r>
        <w:rPr>
          <w:szCs w:val="21"/>
        </w:rPr>
        <w:t>日期：  年   月   日</w:t>
      </w:r>
    </w:p>
    <w:tbl>
      <w:tblPr>
        <w:tblStyle w:val="44"/>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14:paraId="2E4A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8959" w:type="dxa"/>
          </w:tcPr>
          <w:p w14:paraId="0CBFFB83">
            <w:pPr>
              <w:ind w:firstLine="480"/>
              <w:rPr>
                <w:sz w:val="24"/>
              </w:rPr>
            </w:pPr>
            <w:bookmarkStart w:id="43" w:name="_Hlk75689155"/>
          </w:p>
          <w:p w14:paraId="0DD08307">
            <w:pPr>
              <w:ind w:firstLine="480"/>
              <w:rPr>
                <w:sz w:val="24"/>
              </w:rPr>
            </w:pPr>
          </w:p>
          <w:p w14:paraId="57DA0808">
            <w:pPr>
              <w:ind w:firstLine="420"/>
              <w:jc w:val="center"/>
              <w:rPr>
                <w:szCs w:val="21"/>
              </w:rPr>
            </w:pPr>
          </w:p>
          <w:p w14:paraId="28689ADE">
            <w:pPr>
              <w:ind w:firstLine="420"/>
              <w:jc w:val="center"/>
              <w:rPr>
                <w:sz w:val="24"/>
              </w:rPr>
            </w:pPr>
            <w:r>
              <w:rPr>
                <w:szCs w:val="21"/>
              </w:rPr>
              <w:t>授权代表身份证正反面复印件</w:t>
            </w:r>
          </w:p>
        </w:tc>
      </w:tr>
      <w:bookmarkEnd w:id="43"/>
    </w:tbl>
    <w:p w14:paraId="3A2C5876">
      <w:pPr>
        <w:spacing w:after="120"/>
        <w:ind w:firstLine="422"/>
        <w:rPr>
          <w:b/>
          <w:bCs/>
          <w:szCs w:val="21"/>
        </w:rPr>
      </w:pPr>
      <w:r>
        <w:rPr>
          <w:b/>
          <w:bCs/>
          <w:szCs w:val="21"/>
        </w:rPr>
        <w:t>注：</w:t>
      </w:r>
      <w:r>
        <w:rPr>
          <w:rFonts w:hint="eastAsia"/>
          <w:b/>
          <w:bCs/>
          <w:szCs w:val="21"/>
        </w:rPr>
        <w:t>（1）</w:t>
      </w:r>
      <w:r>
        <w:rPr>
          <w:b/>
          <w:bCs/>
          <w:szCs w:val="21"/>
        </w:rPr>
        <w:t>如果由投标人法定代表人的授权委托人签署投标文件，须同时提交法定代表人身份证明书和法定代表人授权委托书；</w:t>
      </w:r>
    </w:p>
    <w:p w14:paraId="43A4B7F5">
      <w:pPr>
        <w:spacing w:after="120"/>
        <w:ind w:firstLine="422"/>
        <w:rPr>
          <w:b/>
          <w:bCs/>
        </w:rPr>
      </w:pPr>
      <w:r>
        <w:rPr>
          <w:rFonts w:hint="eastAsia"/>
          <w:b/>
          <w:bCs/>
          <w:szCs w:val="21"/>
        </w:rPr>
        <w:t>（2）</w:t>
      </w:r>
      <w:r>
        <w:rPr>
          <w:b/>
          <w:bCs/>
          <w:szCs w:val="21"/>
        </w:rPr>
        <w:t>如果由投标人法定代表人签署投标文件，仅须提交法定代表人身份证明书，无需提交法定代表人授权委托书。</w:t>
      </w:r>
    </w:p>
    <w:p w14:paraId="0181F6F7">
      <w:pPr>
        <w:pStyle w:val="5"/>
        <w:ind w:firstLine="422"/>
        <w:rPr>
          <w:szCs w:val="21"/>
        </w:rPr>
      </w:pPr>
      <w:r>
        <w:br w:type="page"/>
      </w:r>
      <w:r>
        <w:rPr>
          <w:szCs w:val="21"/>
        </w:rPr>
        <w:t>2. 有效的营业执照扫描件（加盖公章）；</w:t>
      </w:r>
    </w:p>
    <w:p w14:paraId="5AD709DF">
      <w:pPr>
        <w:pStyle w:val="43"/>
        <w:ind w:firstLine="0" w:firstLineChars="0"/>
        <w:rPr>
          <w:sz w:val="24"/>
        </w:rPr>
      </w:pPr>
    </w:p>
    <w:p w14:paraId="6CBF82A8">
      <w:pPr>
        <w:pStyle w:val="43"/>
        <w:ind w:firstLine="0" w:firstLineChars="0"/>
        <w:rPr>
          <w:sz w:val="24"/>
        </w:rPr>
      </w:pPr>
    </w:p>
    <w:p w14:paraId="04C48338">
      <w:pPr>
        <w:pStyle w:val="43"/>
        <w:ind w:firstLine="0" w:firstLineChars="0"/>
        <w:rPr>
          <w:sz w:val="24"/>
        </w:rPr>
      </w:pPr>
    </w:p>
    <w:p w14:paraId="2A01F453">
      <w:pPr>
        <w:pStyle w:val="43"/>
        <w:ind w:firstLine="0" w:firstLineChars="0"/>
        <w:rPr>
          <w:sz w:val="24"/>
        </w:rPr>
      </w:pPr>
    </w:p>
    <w:p w14:paraId="32A2A30D">
      <w:pPr>
        <w:pStyle w:val="43"/>
        <w:ind w:firstLine="0" w:firstLineChars="0"/>
        <w:rPr>
          <w:sz w:val="24"/>
        </w:rPr>
      </w:pPr>
    </w:p>
    <w:p w14:paraId="43B4595E">
      <w:pPr>
        <w:pStyle w:val="43"/>
        <w:ind w:firstLine="0" w:firstLineChars="0"/>
        <w:rPr>
          <w:sz w:val="24"/>
        </w:rPr>
      </w:pPr>
    </w:p>
    <w:p w14:paraId="12CDFA3C">
      <w:pPr>
        <w:pStyle w:val="43"/>
        <w:ind w:firstLine="0" w:firstLineChars="0"/>
        <w:rPr>
          <w:sz w:val="24"/>
        </w:rPr>
      </w:pPr>
    </w:p>
    <w:p w14:paraId="6AC98427">
      <w:pPr>
        <w:pStyle w:val="43"/>
        <w:ind w:firstLine="0" w:firstLineChars="0"/>
        <w:rPr>
          <w:sz w:val="24"/>
        </w:rPr>
      </w:pPr>
    </w:p>
    <w:p w14:paraId="44D57C51">
      <w:pPr>
        <w:pStyle w:val="43"/>
        <w:ind w:firstLine="0" w:firstLineChars="0"/>
        <w:rPr>
          <w:sz w:val="24"/>
        </w:rPr>
      </w:pPr>
    </w:p>
    <w:p w14:paraId="57030BF6">
      <w:pPr>
        <w:pStyle w:val="43"/>
        <w:ind w:firstLine="0" w:firstLineChars="0"/>
        <w:rPr>
          <w:sz w:val="24"/>
        </w:rPr>
      </w:pPr>
    </w:p>
    <w:p w14:paraId="3EBED027">
      <w:pPr>
        <w:pStyle w:val="43"/>
        <w:ind w:firstLine="0" w:firstLineChars="0"/>
        <w:rPr>
          <w:sz w:val="24"/>
        </w:rPr>
      </w:pPr>
    </w:p>
    <w:p w14:paraId="6BB97197">
      <w:pPr>
        <w:pStyle w:val="43"/>
        <w:ind w:firstLine="0" w:firstLineChars="0"/>
        <w:rPr>
          <w:sz w:val="24"/>
        </w:rPr>
      </w:pPr>
    </w:p>
    <w:p w14:paraId="671E002B">
      <w:pPr>
        <w:pStyle w:val="43"/>
        <w:ind w:firstLine="0" w:firstLineChars="0"/>
        <w:rPr>
          <w:sz w:val="24"/>
        </w:rPr>
      </w:pPr>
    </w:p>
    <w:p w14:paraId="7C680F8C">
      <w:pPr>
        <w:pStyle w:val="43"/>
        <w:ind w:firstLine="0" w:firstLineChars="0"/>
        <w:rPr>
          <w:sz w:val="24"/>
        </w:rPr>
      </w:pPr>
    </w:p>
    <w:p w14:paraId="594C415C">
      <w:pPr>
        <w:pStyle w:val="43"/>
        <w:ind w:firstLine="0" w:firstLineChars="0"/>
        <w:rPr>
          <w:sz w:val="24"/>
        </w:rPr>
      </w:pPr>
    </w:p>
    <w:p w14:paraId="5F84A33E">
      <w:pPr>
        <w:pStyle w:val="43"/>
        <w:ind w:firstLine="0" w:firstLineChars="0"/>
        <w:rPr>
          <w:sz w:val="24"/>
        </w:rPr>
      </w:pPr>
    </w:p>
    <w:p w14:paraId="5675D3A5">
      <w:pPr>
        <w:pStyle w:val="43"/>
        <w:ind w:firstLine="0" w:firstLineChars="0"/>
        <w:rPr>
          <w:sz w:val="24"/>
        </w:rPr>
      </w:pPr>
    </w:p>
    <w:p w14:paraId="53B4CEB6">
      <w:pPr>
        <w:pStyle w:val="43"/>
        <w:ind w:firstLine="0" w:firstLineChars="0"/>
        <w:rPr>
          <w:sz w:val="24"/>
        </w:rPr>
      </w:pPr>
    </w:p>
    <w:p w14:paraId="56575E58">
      <w:pPr>
        <w:pStyle w:val="43"/>
        <w:ind w:firstLine="0" w:firstLineChars="0"/>
        <w:rPr>
          <w:sz w:val="24"/>
        </w:rPr>
      </w:pPr>
    </w:p>
    <w:p w14:paraId="1C6E5D10">
      <w:pPr>
        <w:pStyle w:val="43"/>
        <w:ind w:firstLine="0" w:firstLineChars="0"/>
        <w:rPr>
          <w:sz w:val="24"/>
        </w:rPr>
      </w:pPr>
    </w:p>
    <w:p w14:paraId="1BE28625">
      <w:pPr>
        <w:pStyle w:val="43"/>
        <w:ind w:firstLine="0" w:firstLineChars="0"/>
        <w:rPr>
          <w:sz w:val="24"/>
        </w:rPr>
      </w:pPr>
    </w:p>
    <w:p w14:paraId="5D718421">
      <w:pPr>
        <w:pStyle w:val="43"/>
        <w:ind w:firstLine="0" w:firstLineChars="0"/>
        <w:rPr>
          <w:sz w:val="24"/>
        </w:rPr>
      </w:pPr>
    </w:p>
    <w:p w14:paraId="67FAFCC7">
      <w:pPr>
        <w:pStyle w:val="43"/>
        <w:ind w:firstLine="0" w:firstLineChars="0"/>
        <w:rPr>
          <w:sz w:val="24"/>
        </w:rPr>
      </w:pPr>
    </w:p>
    <w:p w14:paraId="6B8F565D">
      <w:pPr>
        <w:pStyle w:val="43"/>
        <w:ind w:firstLine="0" w:firstLineChars="0"/>
        <w:rPr>
          <w:sz w:val="24"/>
        </w:rPr>
      </w:pPr>
    </w:p>
    <w:p w14:paraId="09A6EF67">
      <w:pPr>
        <w:pStyle w:val="43"/>
        <w:ind w:firstLine="0" w:firstLineChars="0"/>
        <w:rPr>
          <w:sz w:val="24"/>
        </w:rPr>
      </w:pPr>
    </w:p>
    <w:p w14:paraId="056D9A94">
      <w:pPr>
        <w:pStyle w:val="43"/>
        <w:ind w:firstLine="0" w:firstLineChars="0"/>
        <w:rPr>
          <w:sz w:val="24"/>
        </w:rPr>
      </w:pPr>
    </w:p>
    <w:p w14:paraId="3192F884">
      <w:pPr>
        <w:pStyle w:val="43"/>
        <w:ind w:firstLine="0" w:firstLineChars="0"/>
        <w:rPr>
          <w:sz w:val="24"/>
        </w:rPr>
      </w:pPr>
    </w:p>
    <w:p w14:paraId="6221526D">
      <w:pPr>
        <w:pStyle w:val="43"/>
        <w:ind w:firstLine="0" w:firstLineChars="0"/>
        <w:rPr>
          <w:sz w:val="24"/>
        </w:rPr>
      </w:pPr>
    </w:p>
    <w:p w14:paraId="28DC8EDF">
      <w:pPr>
        <w:pStyle w:val="43"/>
        <w:ind w:firstLine="0" w:firstLineChars="0"/>
        <w:rPr>
          <w:sz w:val="24"/>
        </w:rPr>
      </w:pPr>
    </w:p>
    <w:p w14:paraId="5EC0E0DB">
      <w:pPr>
        <w:pStyle w:val="43"/>
        <w:ind w:firstLine="0" w:firstLineChars="0"/>
        <w:rPr>
          <w:sz w:val="24"/>
        </w:rPr>
      </w:pPr>
    </w:p>
    <w:p w14:paraId="0443F4DF">
      <w:pPr>
        <w:pStyle w:val="43"/>
        <w:ind w:left="0" w:leftChars="0" w:firstLine="0" w:firstLineChars="0"/>
        <w:rPr>
          <w:sz w:val="24"/>
        </w:rPr>
      </w:pPr>
    </w:p>
    <w:p w14:paraId="1244D24A">
      <w:pPr>
        <w:keepNext/>
        <w:keepLines/>
        <w:ind w:firstLine="422"/>
        <w:outlineLvl w:val="2"/>
        <w:rPr>
          <w:b/>
          <w:kern w:val="0"/>
        </w:rPr>
      </w:pPr>
      <w:r>
        <w:rPr>
          <w:b/>
          <w:kern w:val="0"/>
        </w:rPr>
        <w:t>3. 投标人资格声明函</w:t>
      </w:r>
    </w:p>
    <w:p w14:paraId="27EFAF49">
      <w:pPr>
        <w:spacing w:after="120" w:line="240" w:lineRule="auto"/>
        <w:ind w:left="420" w:leftChars="200" w:firstLine="0" w:firstLineChars="0"/>
      </w:pPr>
    </w:p>
    <w:p w14:paraId="7F428B42">
      <w:pPr>
        <w:ind w:firstLine="0" w:firstLineChars="0"/>
        <w:jc w:val="center"/>
        <w:rPr>
          <w:b/>
          <w:bCs/>
        </w:rPr>
      </w:pPr>
      <w:r>
        <w:rPr>
          <w:b/>
          <w:bCs/>
        </w:rPr>
        <w:t>投标人资格声明函</w:t>
      </w:r>
    </w:p>
    <w:p w14:paraId="2C63BC7F">
      <w:pPr>
        <w:ind w:firstLine="420"/>
      </w:pPr>
    </w:p>
    <w:p w14:paraId="2474F6D9">
      <w:pPr>
        <w:ind w:firstLine="420"/>
      </w:pPr>
      <w:r>
        <w:t>（一）我单位：</w:t>
      </w:r>
    </w:p>
    <w:p w14:paraId="416DA05F">
      <w:pPr>
        <w:ind w:firstLine="420"/>
      </w:pPr>
      <w:r>
        <w:t>1、具有合法有效的营业执照；</w:t>
      </w:r>
    </w:p>
    <w:p w14:paraId="4EDC53AB">
      <w:pPr>
        <w:ind w:firstLine="420"/>
      </w:pPr>
      <w:r>
        <w:t>2、</w:t>
      </w:r>
      <w:r>
        <w:rPr>
          <w:rFonts w:hint="eastAsia" w:ascii="宋体" w:hAnsi="宋体" w:cs="宋体"/>
        </w:rPr>
        <w:t>具有独立承担民事责任能力</w:t>
      </w:r>
      <w:r>
        <w:t>；</w:t>
      </w:r>
    </w:p>
    <w:p w14:paraId="7575DA02">
      <w:pPr>
        <w:ind w:firstLine="420"/>
      </w:pPr>
      <w:r>
        <w:rPr>
          <w:rFonts w:hint="eastAsia"/>
        </w:rPr>
        <w:t>3</w:t>
      </w:r>
      <w:r>
        <w:t>、</w:t>
      </w:r>
      <w:r>
        <w:rPr>
          <w:rFonts w:hint="eastAsia" w:ascii="宋体" w:hAnsi="宋体" w:cs="宋体"/>
        </w:rPr>
        <w:t>具有履行合同所必需的能力</w:t>
      </w:r>
      <w:r>
        <w:t>；</w:t>
      </w:r>
    </w:p>
    <w:p w14:paraId="33B0F7C8">
      <w:pPr>
        <w:ind w:firstLine="420"/>
        <w:rPr>
          <w:rFonts w:ascii="宋体" w:hAnsi="宋体" w:cs="宋体"/>
        </w:rPr>
      </w:pPr>
      <w:r>
        <w:rPr>
          <w:rFonts w:hint="eastAsia"/>
        </w:rPr>
        <w:t>4</w:t>
      </w:r>
      <w:r>
        <w:t>、</w:t>
      </w:r>
      <w:r>
        <w:rPr>
          <w:rFonts w:hint="eastAsia" w:ascii="宋体" w:hAnsi="宋体" w:cs="宋体"/>
        </w:rPr>
        <w:t>具有完成本次招标项目的能力；</w:t>
      </w:r>
    </w:p>
    <w:p w14:paraId="63E22311">
      <w:pPr>
        <w:ind w:firstLine="420"/>
      </w:pPr>
      <w:r>
        <w:rPr>
          <w:rFonts w:hint="eastAsia" w:ascii="宋体" w:hAnsi="宋体" w:cs="宋体"/>
        </w:rPr>
        <w:t>5、</w:t>
      </w:r>
      <w:r>
        <w:t>法律、行政法规规定的其他条件。</w:t>
      </w:r>
    </w:p>
    <w:p w14:paraId="05CC4110">
      <w:pPr>
        <w:ind w:firstLine="420"/>
      </w:pPr>
      <w:r>
        <w:t>（二）我单位承诺遵守以下要求：</w:t>
      </w:r>
    </w:p>
    <w:p w14:paraId="3D3D7149">
      <w:pPr>
        <w:ind w:firstLine="420"/>
      </w:pPr>
      <w:r>
        <w:t>单位负责人为同一人或者存在直接控股、管理关系的不同投标人，不得同时参加同一合同项下的采购活动。除单一来源采购项目外，为采购项目提供整体设计、规范编制或者项目管理、监理、检测等服务的投标人，不得再参加该采购项目的其他采购活动。</w:t>
      </w:r>
    </w:p>
    <w:p w14:paraId="2F250621">
      <w:pPr>
        <w:numPr>
          <w:ilvl w:val="0"/>
          <w:numId w:val="10"/>
        </w:numPr>
        <w:ind w:firstLine="420"/>
      </w:pPr>
      <w:r>
        <w:t>我单位</w:t>
      </w:r>
      <w:r>
        <w:rPr>
          <w:rFonts w:hint="eastAsia"/>
        </w:rPr>
        <w:t>非</w:t>
      </w:r>
      <w:r>
        <w:rPr>
          <w:rFonts w:hint="eastAsia" w:ascii="宋体" w:hAnsi="宋体" w:cs="宋体"/>
        </w:rPr>
        <w:t>失信被执行人</w:t>
      </w:r>
      <w:r>
        <w:t>；</w:t>
      </w:r>
    </w:p>
    <w:p w14:paraId="3080B3C1">
      <w:pPr>
        <w:ind w:firstLine="420"/>
      </w:pPr>
      <w:r>
        <w:t>（</w:t>
      </w:r>
      <w:r>
        <w:rPr>
          <w:rFonts w:hint="eastAsia"/>
        </w:rPr>
        <w:t>四</w:t>
      </w:r>
      <w:r>
        <w:t>）我单位非联合体投标。</w:t>
      </w:r>
    </w:p>
    <w:p w14:paraId="0C8FA587">
      <w:pPr>
        <w:ind w:firstLine="420"/>
      </w:pPr>
      <w:r>
        <w:t>特此承诺。</w:t>
      </w:r>
    </w:p>
    <w:p w14:paraId="46C730AE">
      <w:pPr>
        <w:ind w:firstLine="420"/>
      </w:pPr>
    </w:p>
    <w:p w14:paraId="3871BAED">
      <w:pPr>
        <w:ind w:firstLine="420"/>
      </w:pPr>
      <w:r>
        <w:t>法定代表人或授权代表（签章）：</w:t>
      </w:r>
    </w:p>
    <w:p w14:paraId="73807C15">
      <w:pPr>
        <w:ind w:firstLine="420"/>
      </w:pPr>
      <w:r>
        <w:t>投标人名称（盖章）：</w:t>
      </w:r>
    </w:p>
    <w:p w14:paraId="7E9B7B30">
      <w:pPr>
        <w:ind w:firstLine="420"/>
        <w:jc w:val="right"/>
      </w:pPr>
      <w:r>
        <w:t>日期：  年   月   日</w:t>
      </w:r>
    </w:p>
    <w:p w14:paraId="70D09E1D">
      <w:pPr>
        <w:spacing w:after="120" w:line="240" w:lineRule="auto"/>
        <w:ind w:left="420" w:leftChars="200" w:firstLine="0" w:firstLineChars="0"/>
      </w:pPr>
    </w:p>
    <w:p w14:paraId="5BC21D68">
      <w:pPr>
        <w:adjustRightInd w:val="0"/>
        <w:snapToGrid w:val="0"/>
        <w:ind w:firstLine="480"/>
        <w:rPr>
          <w:sz w:val="24"/>
        </w:rPr>
      </w:pPr>
    </w:p>
    <w:p w14:paraId="0ED6282D">
      <w:pPr>
        <w:spacing w:after="120" w:line="240" w:lineRule="auto"/>
        <w:ind w:left="420" w:leftChars="200" w:firstLine="480"/>
        <w:rPr>
          <w:sz w:val="24"/>
        </w:rPr>
      </w:pPr>
    </w:p>
    <w:p w14:paraId="6C020440">
      <w:pPr>
        <w:spacing w:after="120" w:line="240" w:lineRule="auto"/>
        <w:ind w:left="420" w:leftChars="200" w:firstLine="480"/>
        <w:rPr>
          <w:sz w:val="24"/>
        </w:rPr>
      </w:pPr>
    </w:p>
    <w:p w14:paraId="674C1FEE">
      <w:pPr>
        <w:spacing w:after="120" w:line="240" w:lineRule="auto"/>
        <w:ind w:left="420" w:leftChars="200" w:firstLine="480"/>
        <w:rPr>
          <w:sz w:val="24"/>
        </w:rPr>
      </w:pPr>
    </w:p>
    <w:p w14:paraId="3E0D6409">
      <w:pPr>
        <w:ind w:firstLine="420"/>
        <w:sectPr>
          <w:headerReference r:id="rId14" w:type="default"/>
          <w:footerReference r:id="rId15" w:type="default"/>
          <w:pgSz w:w="11906" w:h="16838"/>
          <w:pgMar w:top="1440" w:right="1558" w:bottom="1440" w:left="1800" w:header="851" w:footer="992" w:gutter="0"/>
          <w:cols w:space="720" w:num="1"/>
          <w:docGrid w:type="lines" w:linePitch="312" w:charSpace="0"/>
        </w:sectPr>
      </w:pPr>
    </w:p>
    <w:p w14:paraId="024C481F">
      <w:pPr>
        <w:keepNext/>
        <w:keepLines/>
        <w:ind w:firstLine="422"/>
        <w:outlineLvl w:val="2"/>
        <w:rPr>
          <w:b/>
          <w:bCs/>
          <w:kern w:val="0"/>
        </w:rPr>
      </w:pPr>
      <w:r>
        <w:rPr>
          <w:rFonts w:hint="eastAsia"/>
          <w:b/>
          <w:kern w:val="0"/>
        </w:rPr>
        <w:t>4</w:t>
      </w:r>
      <w:r>
        <w:rPr>
          <w:b/>
          <w:kern w:val="0"/>
        </w:rPr>
        <w:t xml:space="preserve">. </w:t>
      </w:r>
      <w:r>
        <w:rPr>
          <w:rFonts w:hint="eastAsia"/>
          <w:b/>
          <w:bCs/>
          <w:kern w:val="0"/>
        </w:rPr>
        <w:t>承诺书</w:t>
      </w:r>
    </w:p>
    <w:p w14:paraId="652BB150">
      <w:pPr>
        <w:keepNext/>
        <w:keepLines/>
        <w:ind w:firstLine="422"/>
        <w:jc w:val="center"/>
        <w:outlineLvl w:val="2"/>
        <w:rPr>
          <w:b/>
          <w:kern w:val="0"/>
        </w:rPr>
      </w:pPr>
      <w:r>
        <w:rPr>
          <w:rFonts w:hint="eastAsia"/>
          <w:b/>
          <w:bCs/>
          <w:kern w:val="0"/>
        </w:rPr>
        <w:t>承诺书</w:t>
      </w:r>
    </w:p>
    <w:p w14:paraId="5C2B1FE5">
      <w:pPr>
        <w:keepNext/>
        <w:keepLines/>
        <w:ind w:firstLine="420"/>
        <w:outlineLvl w:val="2"/>
        <w:rPr>
          <w:bCs/>
          <w:kern w:val="0"/>
        </w:rPr>
      </w:pPr>
      <w:r>
        <w:rPr>
          <w:rFonts w:hint="eastAsia"/>
          <w:bCs/>
          <w:kern w:val="0"/>
        </w:rPr>
        <w:t>致：________________________（招标人全称）</w:t>
      </w:r>
    </w:p>
    <w:p w14:paraId="5A842093">
      <w:pPr>
        <w:keepNext/>
        <w:keepLines/>
        <w:ind w:firstLine="420"/>
        <w:outlineLvl w:val="2"/>
        <w:rPr>
          <w:bCs/>
          <w:kern w:val="0"/>
        </w:rPr>
      </w:pPr>
      <w:r>
        <w:rPr>
          <w:rFonts w:hint="eastAsia"/>
          <w:bCs/>
          <w:kern w:val="0"/>
        </w:rPr>
        <w:t>本投标人已仔细研读本项目招标文件全部内容，对招标文件所有实质性条款均完全响应、无任何偏离、无任何保留，现就项目核心需求郑重作出如下承诺：</w:t>
      </w:r>
    </w:p>
    <w:p w14:paraId="4169DE64">
      <w:pPr>
        <w:keepNext/>
        <w:keepLines/>
        <w:ind w:firstLine="420"/>
        <w:outlineLvl w:val="2"/>
        <w:rPr>
          <w:bCs/>
          <w:kern w:val="0"/>
        </w:rPr>
      </w:pPr>
      <w:r>
        <w:rPr>
          <w:rFonts w:hint="eastAsia"/>
          <w:bCs/>
          <w:kern w:val="0"/>
        </w:rPr>
        <w:t>1、架构升级：我方承诺对现有主机房3台服务器的其中2台（E5-2630 CPU的服务器）和1台（4210R CPU的服务器 ）组建生产集群，每台更换2*480G SSD，同时对超融合系统进行不停机平滑升级。</w:t>
      </w:r>
    </w:p>
    <w:p w14:paraId="1023703B">
      <w:pPr>
        <w:keepNext/>
        <w:keepLines/>
        <w:ind w:firstLine="420"/>
        <w:outlineLvl w:val="2"/>
        <w:rPr>
          <w:bCs/>
          <w:kern w:val="0"/>
        </w:rPr>
      </w:pPr>
      <w:r>
        <w:rPr>
          <w:rFonts w:hint="eastAsia"/>
          <w:bCs/>
          <w:kern w:val="0"/>
        </w:rPr>
        <w:t>2、节点扩容：我方承诺新增1台超融合节点，要求新增加节点兼容现有超融合软硬环境，提升生产集群的计算、存储资源冗余能力。</w:t>
      </w:r>
    </w:p>
    <w:p w14:paraId="4173C969">
      <w:pPr>
        <w:keepNext/>
        <w:keepLines/>
        <w:ind w:firstLine="420"/>
        <w:outlineLvl w:val="2"/>
        <w:rPr>
          <w:bCs/>
          <w:kern w:val="0"/>
        </w:rPr>
      </w:pPr>
      <w:r>
        <w:rPr>
          <w:rFonts w:hint="eastAsia"/>
          <w:bCs/>
          <w:kern w:val="0"/>
        </w:rPr>
        <w:t>3、平稳过渡：我方承诺项目实施全程保障业务中断时间可控，确保调整及扩容过程中核心业务数据不丢失、系统可快速恢复。</w:t>
      </w:r>
    </w:p>
    <w:p w14:paraId="57C7BFF8">
      <w:pPr>
        <w:keepNext/>
        <w:keepLines/>
        <w:ind w:firstLine="420"/>
        <w:outlineLvl w:val="2"/>
        <w:rPr>
          <w:bCs/>
          <w:kern w:val="0"/>
        </w:rPr>
      </w:pPr>
      <w:r>
        <w:rPr>
          <w:rFonts w:hint="eastAsia"/>
          <w:bCs/>
          <w:kern w:val="0"/>
        </w:rPr>
        <w:t>4、软件升级：对超融合集群软件版本提供升级服务，确保软件稳定运行。</w:t>
      </w:r>
    </w:p>
    <w:p w14:paraId="7A5936F4">
      <w:pPr>
        <w:keepNext/>
        <w:keepLines/>
        <w:ind w:firstLine="420"/>
        <w:outlineLvl w:val="2"/>
        <w:rPr>
          <w:bCs/>
          <w:kern w:val="0"/>
        </w:rPr>
      </w:pPr>
      <w:r>
        <w:rPr>
          <w:rFonts w:hint="eastAsia"/>
          <w:bCs/>
          <w:kern w:val="0"/>
        </w:rPr>
        <w:t>本投标人以上承诺内容真实有效，自愿作为投标及中标后履约的刚性约束，严格遵照执行并承担全部相关责任。</w:t>
      </w:r>
    </w:p>
    <w:p w14:paraId="19F5325B">
      <w:pPr>
        <w:ind w:firstLine="420"/>
      </w:pPr>
    </w:p>
    <w:p w14:paraId="380CFE9D">
      <w:pPr>
        <w:ind w:firstLine="420"/>
      </w:pPr>
    </w:p>
    <w:p w14:paraId="38CCFC05">
      <w:pPr>
        <w:ind w:firstLine="420"/>
      </w:pPr>
    </w:p>
    <w:p w14:paraId="09E6CC70">
      <w:pPr>
        <w:ind w:firstLine="420"/>
      </w:pPr>
      <w:r>
        <w:t>法定代表人或授权代表（签章）：</w:t>
      </w:r>
    </w:p>
    <w:p w14:paraId="0F9F369C">
      <w:pPr>
        <w:ind w:firstLine="420"/>
      </w:pPr>
      <w:r>
        <w:t>投标人名称（盖章）：</w:t>
      </w:r>
    </w:p>
    <w:p w14:paraId="17607B09">
      <w:pPr>
        <w:ind w:firstLine="420"/>
        <w:jc w:val="right"/>
      </w:pPr>
      <w:r>
        <w:t>日期：  年   月   日</w:t>
      </w:r>
    </w:p>
    <w:p w14:paraId="7F87E224">
      <w:pPr>
        <w:keepNext/>
        <w:keepLines/>
        <w:ind w:firstLine="422"/>
        <w:outlineLvl w:val="2"/>
        <w:rPr>
          <w:b/>
          <w:kern w:val="0"/>
        </w:rPr>
      </w:pPr>
    </w:p>
    <w:p w14:paraId="6D6B5B6B">
      <w:pPr>
        <w:keepNext/>
        <w:keepLines/>
        <w:ind w:firstLine="422"/>
        <w:outlineLvl w:val="2"/>
        <w:rPr>
          <w:b/>
          <w:bCs/>
          <w:kern w:val="0"/>
        </w:rPr>
      </w:pPr>
      <w:r>
        <w:rPr>
          <w:rFonts w:hint="eastAsia"/>
          <w:b/>
          <w:kern w:val="0"/>
        </w:rPr>
        <w:t>5</w:t>
      </w:r>
      <w:r>
        <w:rPr>
          <w:b/>
          <w:kern w:val="0"/>
        </w:rPr>
        <w:t xml:space="preserve">. </w:t>
      </w:r>
      <w:r>
        <w:rPr>
          <w:b/>
          <w:bCs/>
          <w:kern w:val="0"/>
        </w:rPr>
        <w:t>招标文件要求的或投标人认为有必要提供的其他情况说明或资质证书（扫描件加盖公章）。</w:t>
      </w:r>
    </w:p>
    <w:p w14:paraId="10E3C1DB">
      <w:pPr>
        <w:ind w:firstLine="0" w:firstLineChars="0"/>
      </w:pPr>
    </w:p>
    <w:p w14:paraId="3AF306F8">
      <w:pPr>
        <w:snapToGrid w:val="0"/>
        <w:spacing w:before="156" w:beforeLines="50"/>
        <w:ind w:firstLine="0" w:firstLineChars="0"/>
        <w:outlineLvl w:val="1"/>
        <w:rPr>
          <w:b/>
          <w:sz w:val="24"/>
          <w:szCs w:val="21"/>
        </w:rPr>
      </w:pPr>
      <w:r>
        <w:rPr>
          <w:b/>
          <w:sz w:val="24"/>
          <w:szCs w:val="21"/>
        </w:rPr>
        <w:br w:type="page"/>
      </w:r>
      <w:r>
        <w:rPr>
          <w:b/>
          <w:sz w:val="24"/>
          <w:szCs w:val="21"/>
        </w:rPr>
        <w:t>第二部分：商务技术标</w:t>
      </w:r>
    </w:p>
    <w:p w14:paraId="017188F8">
      <w:pPr>
        <w:keepNext/>
        <w:keepLines/>
        <w:ind w:firstLine="422"/>
        <w:outlineLvl w:val="2"/>
        <w:rPr>
          <w:b/>
          <w:kern w:val="0"/>
          <w:sz w:val="24"/>
        </w:rPr>
      </w:pPr>
      <w:r>
        <w:rPr>
          <w:b/>
          <w:kern w:val="0"/>
        </w:rPr>
        <w:t>1. 商务响应表</w:t>
      </w:r>
    </w:p>
    <w:p w14:paraId="4BE9EA13">
      <w:pPr>
        <w:ind w:firstLine="0" w:firstLineChars="0"/>
        <w:jc w:val="center"/>
        <w:rPr>
          <w:b/>
          <w:bCs/>
        </w:rPr>
      </w:pPr>
      <w:r>
        <w:rPr>
          <w:b/>
          <w:bCs/>
        </w:rPr>
        <w:t>商务响应表</w:t>
      </w:r>
    </w:p>
    <w:tbl>
      <w:tblPr>
        <w:tblStyle w:val="44"/>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9"/>
        <w:gridCol w:w="3059"/>
        <w:gridCol w:w="2409"/>
        <w:gridCol w:w="1842"/>
      </w:tblGrid>
      <w:tr w14:paraId="4945C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29" w:type="dxa"/>
            <w:tcBorders>
              <w:top w:val="single" w:color="auto" w:sz="4" w:space="0"/>
              <w:left w:val="single" w:color="auto" w:sz="4" w:space="0"/>
              <w:bottom w:val="single" w:color="auto" w:sz="4" w:space="0"/>
              <w:right w:val="single" w:color="auto" w:sz="4" w:space="0"/>
            </w:tcBorders>
            <w:vAlign w:val="center"/>
          </w:tcPr>
          <w:p w14:paraId="2C1B7315">
            <w:pPr>
              <w:ind w:firstLine="0" w:firstLineChars="0"/>
              <w:jc w:val="center"/>
            </w:pPr>
            <w:r>
              <w:t>条款号</w:t>
            </w:r>
          </w:p>
        </w:tc>
        <w:tc>
          <w:tcPr>
            <w:tcW w:w="3059" w:type="dxa"/>
            <w:tcBorders>
              <w:top w:val="single" w:color="auto" w:sz="4" w:space="0"/>
              <w:left w:val="single" w:color="auto" w:sz="4" w:space="0"/>
              <w:bottom w:val="single" w:color="auto" w:sz="4" w:space="0"/>
              <w:right w:val="single" w:color="auto" w:sz="4" w:space="0"/>
            </w:tcBorders>
            <w:vAlign w:val="center"/>
          </w:tcPr>
          <w:p w14:paraId="37C35FB6">
            <w:pPr>
              <w:ind w:firstLine="0" w:firstLineChars="0"/>
              <w:jc w:val="center"/>
            </w:pPr>
            <w: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65844335">
            <w:pPr>
              <w:ind w:firstLine="0" w:firstLineChars="0"/>
              <w:jc w:val="center"/>
            </w:pPr>
            <w:r>
              <w:t>投标人的承诺和说明</w:t>
            </w:r>
          </w:p>
        </w:tc>
        <w:tc>
          <w:tcPr>
            <w:tcW w:w="1842" w:type="dxa"/>
            <w:tcBorders>
              <w:top w:val="single" w:color="auto" w:sz="4" w:space="0"/>
              <w:left w:val="single" w:color="auto" w:sz="4" w:space="0"/>
              <w:bottom w:val="single" w:color="auto" w:sz="4" w:space="0"/>
              <w:right w:val="single" w:color="auto" w:sz="4" w:space="0"/>
            </w:tcBorders>
            <w:vAlign w:val="center"/>
          </w:tcPr>
          <w:p w14:paraId="6E162B8F">
            <w:pPr>
              <w:ind w:firstLine="0" w:firstLineChars="0"/>
              <w:jc w:val="center"/>
            </w:pPr>
            <w:r>
              <w:t>偏离情况</w:t>
            </w:r>
          </w:p>
        </w:tc>
      </w:tr>
      <w:tr w14:paraId="3776B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29" w:type="dxa"/>
            <w:tcBorders>
              <w:top w:val="single" w:color="auto" w:sz="4" w:space="0"/>
              <w:left w:val="single" w:color="auto" w:sz="4" w:space="0"/>
              <w:bottom w:val="single" w:color="auto" w:sz="4" w:space="0"/>
              <w:right w:val="single" w:color="auto" w:sz="4" w:space="0"/>
            </w:tcBorders>
            <w:vAlign w:val="center"/>
          </w:tcPr>
          <w:p w14:paraId="151430B9">
            <w:pPr>
              <w:spacing w:line="240" w:lineRule="auto"/>
              <w:ind w:firstLine="0" w:firstLineChars="0"/>
              <w:jc w:val="center"/>
              <w:rPr>
                <w:kern w:val="0"/>
                <w:sz w:val="28"/>
              </w:rPr>
            </w:pPr>
          </w:p>
        </w:tc>
        <w:tc>
          <w:tcPr>
            <w:tcW w:w="3059" w:type="dxa"/>
            <w:tcBorders>
              <w:top w:val="single" w:color="auto" w:sz="4" w:space="0"/>
              <w:left w:val="single" w:color="auto" w:sz="4" w:space="0"/>
              <w:bottom w:val="single" w:color="auto" w:sz="4" w:space="0"/>
              <w:right w:val="single" w:color="auto" w:sz="4" w:space="0"/>
            </w:tcBorders>
            <w:vAlign w:val="center"/>
          </w:tcPr>
          <w:p w14:paraId="3A31A131">
            <w:pPr>
              <w:spacing w:line="240" w:lineRule="auto"/>
              <w:ind w:firstLine="0" w:firstLineChars="0"/>
              <w:rPr>
                <w:kern w:val="0"/>
                <w:sz w:val="28"/>
              </w:rPr>
            </w:pPr>
          </w:p>
        </w:tc>
        <w:tc>
          <w:tcPr>
            <w:tcW w:w="2409" w:type="dxa"/>
            <w:tcBorders>
              <w:top w:val="single" w:color="auto" w:sz="4" w:space="0"/>
              <w:left w:val="single" w:color="auto" w:sz="4" w:space="0"/>
              <w:bottom w:val="single" w:color="auto" w:sz="4" w:space="0"/>
              <w:right w:val="single" w:color="auto" w:sz="4" w:space="0"/>
            </w:tcBorders>
            <w:vAlign w:val="center"/>
          </w:tcPr>
          <w:p w14:paraId="05A04A8A">
            <w:pPr>
              <w:ind w:firstLine="0" w:firstLineChars="0"/>
              <w:jc w:val="center"/>
            </w:pPr>
          </w:p>
        </w:tc>
        <w:tc>
          <w:tcPr>
            <w:tcW w:w="1842" w:type="dxa"/>
            <w:tcBorders>
              <w:top w:val="single" w:color="auto" w:sz="4" w:space="0"/>
              <w:left w:val="single" w:color="auto" w:sz="4" w:space="0"/>
              <w:bottom w:val="single" w:color="auto" w:sz="4" w:space="0"/>
              <w:right w:val="single" w:color="auto" w:sz="4" w:space="0"/>
            </w:tcBorders>
            <w:vAlign w:val="center"/>
          </w:tcPr>
          <w:p w14:paraId="6D9C8071">
            <w:pPr>
              <w:ind w:firstLine="0" w:firstLineChars="0"/>
              <w:jc w:val="center"/>
            </w:pPr>
          </w:p>
        </w:tc>
      </w:tr>
      <w:tr w14:paraId="19B61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29" w:type="dxa"/>
            <w:tcBorders>
              <w:top w:val="single" w:color="auto" w:sz="4" w:space="0"/>
              <w:left w:val="single" w:color="auto" w:sz="4" w:space="0"/>
              <w:bottom w:val="single" w:color="auto" w:sz="4" w:space="0"/>
              <w:right w:val="single" w:color="auto" w:sz="4" w:space="0"/>
            </w:tcBorders>
            <w:vAlign w:val="center"/>
          </w:tcPr>
          <w:p w14:paraId="24A17852">
            <w:pPr>
              <w:ind w:firstLine="0" w:firstLineChars="0"/>
              <w:jc w:val="center"/>
              <w:rPr>
                <w:kern w:val="0"/>
                <w:sz w:val="28"/>
              </w:rPr>
            </w:pPr>
          </w:p>
        </w:tc>
        <w:tc>
          <w:tcPr>
            <w:tcW w:w="3059" w:type="dxa"/>
            <w:tcBorders>
              <w:top w:val="single" w:color="auto" w:sz="4" w:space="0"/>
              <w:left w:val="single" w:color="auto" w:sz="4" w:space="0"/>
              <w:bottom w:val="single" w:color="auto" w:sz="4" w:space="0"/>
              <w:right w:val="single" w:color="auto" w:sz="4" w:space="0"/>
            </w:tcBorders>
            <w:vAlign w:val="center"/>
          </w:tcPr>
          <w:p w14:paraId="68D2C0E4">
            <w:pPr>
              <w:ind w:firstLine="0" w:firstLineChars="0"/>
              <w:jc w:val="left"/>
              <w:rPr>
                <w:kern w:val="0"/>
                <w:sz w:val="28"/>
              </w:rPr>
            </w:pPr>
          </w:p>
        </w:tc>
        <w:tc>
          <w:tcPr>
            <w:tcW w:w="2409" w:type="dxa"/>
            <w:tcBorders>
              <w:top w:val="single" w:color="auto" w:sz="4" w:space="0"/>
              <w:left w:val="single" w:color="auto" w:sz="4" w:space="0"/>
              <w:bottom w:val="single" w:color="auto" w:sz="4" w:space="0"/>
              <w:right w:val="single" w:color="auto" w:sz="4" w:space="0"/>
            </w:tcBorders>
            <w:vAlign w:val="center"/>
          </w:tcPr>
          <w:p w14:paraId="6F3252A8">
            <w:pPr>
              <w:ind w:firstLine="0" w:firstLineChars="0"/>
              <w:jc w:val="center"/>
            </w:pPr>
          </w:p>
        </w:tc>
        <w:tc>
          <w:tcPr>
            <w:tcW w:w="1842" w:type="dxa"/>
            <w:tcBorders>
              <w:top w:val="single" w:color="auto" w:sz="4" w:space="0"/>
              <w:left w:val="single" w:color="auto" w:sz="4" w:space="0"/>
              <w:bottom w:val="single" w:color="auto" w:sz="4" w:space="0"/>
              <w:right w:val="single" w:color="auto" w:sz="4" w:space="0"/>
            </w:tcBorders>
            <w:vAlign w:val="center"/>
          </w:tcPr>
          <w:p w14:paraId="0AED9782">
            <w:pPr>
              <w:ind w:firstLine="0" w:firstLineChars="0"/>
              <w:jc w:val="center"/>
            </w:pPr>
          </w:p>
        </w:tc>
      </w:tr>
      <w:tr w14:paraId="10E92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29" w:type="dxa"/>
            <w:tcBorders>
              <w:top w:val="single" w:color="auto" w:sz="4" w:space="0"/>
              <w:left w:val="single" w:color="auto" w:sz="4" w:space="0"/>
              <w:bottom w:val="single" w:color="auto" w:sz="4" w:space="0"/>
              <w:right w:val="single" w:color="auto" w:sz="4" w:space="0"/>
            </w:tcBorders>
            <w:vAlign w:val="center"/>
          </w:tcPr>
          <w:p w14:paraId="2634A564">
            <w:pPr>
              <w:autoSpaceDE w:val="0"/>
              <w:autoSpaceDN w:val="0"/>
              <w:ind w:firstLine="0" w:firstLineChars="0"/>
              <w:jc w:val="center"/>
              <w:rPr>
                <w:rFonts w:ascii="宋体" w:hAnsi="宋体" w:cs="宋体"/>
                <w:kern w:val="0"/>
                <w:sz w:val="22"/>
                <w:szCs w:val="22"/>
                <w:lang w:eastAsia="en-US"/>
              </w:rPr>
            </w:pPr>
          </w:p>
        </w:tc>
        <w:tc>
          <w:tcPr>
            <w:tcW w:w="3059" w:type="dxa"/>
            <w:tcBorders>
              <w:top w:val="single" w:color="auto" w:sz="4" w:space="0"/>
              <w:left w:val="single" w:color="auto" w:sz="4" w:space="0"/>
              <w:bottom w:val="single" w:color="auto" w:sz="4" w:space="0"/>
              <w:right w:val="single" w:color="auto" w:sz="4" w:space="0"/>
            </w:tcBorders>
            <w:vAlign w:val="center"/>
          </w:tcPr>
          <w:p w14:paraId="1B37CE90">
            <w:pPr>
              <w:autoSpaceDE w:val="0"/>
              <w:autoSpaceDN w:val="0"/>
              <w:ind w:firstLine="0" w:firstLineChars="0"/>
              <w:jc w:val="left"/>
              <w:rPr>
                <w:rFonts w:ascii="宋体" w:hAnsi="宋体" w:cs="宋体"/>
                <w:kern w:val="0"/>
                <w:sz w:val="22"/>
                <w:szCs w:val="22"/>
                <w:lang w:eastAsia="en-US"/>
              </w:rPr>
            </w:pPr>
          </w:p>
        </w:tc>
        <w:tc>
          <w:tcPr>
            <w:tcW w:w="2409" w:type="dxa"/>
            <w:tcBorders>
              <w:top w:val="single" w:color="auto" w:sz="4" w:space="0"/>
              <w:left w:val="single" w:color="auto" w:sz="4" w:space="0"/>
              <w:bottom w:val="single" w:color="auto" w:sz="4" w:space="0"/>
              <w:right w:val="single" w:color="auto" w:sz="4" w:space="0"/>
            </w:tcBorders>
            <w:vAlign w:val="center"/>
          </w:tcPr>
          <w:p w14:paraId="1EC870C5">
            <w:pPr>
              <w:ind w:firstLine="0" w:firstLineChars="0"/>
              <w:jc w:val="center"/>
            </w:pPr>
          </w:p>
        </w:tc>
        <w:tc>
          <w:tcPr>
            <w:tcW w:w="1842" w:type="dxa"/>
            <w:tcBorders>
              <w:top w:val="single" w:color="auto" w:sz="4" w:space="0"/>
              <w:left w:val="single" w:color="auto" w:sz="4" w:space="0"/>
              <w:bottom w:val="single" w:color="auto" w:sz="4" w:space="0"/>
              <w:right w:val="single" w:color="auto" w:sz="4" w:space="0"/>
            </w:tcBorders>
            <w:vAlign w:val="center"/>
          </w:tcPr>
          <w:p w14:paraId="65B63F0E">
            <w:pPr>
              <w:ind w:firstLine="0" w:firstLineChars="0"/>
              <w:jc w:val="center"/>
            </w:pPr>
          </w:p>
        </w:tc>
      </w:tr>
      <w:tr w14:paraId="1DF2D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29" w:type="dxa"/>
            <w:tcBorders>
              <w:top w:val="single" w:color="auto" w:sz="4" w:space="0"/>
              <w:left w:val="single" w:color="auto" w:sz="4" w:space="0"/>
              <w:bottom w:val="single" w:color="auto" w:sz="4" w:space="0"/>
              <w:right w:val="single" w:color="auto" w:sz="4" w:space="0"/>
            </w:tcBorders>
            <w:vAlign w:val="center"/>
          </w:tcPr>
          <w:p w14:paraId="1722E295">
            <w:pPr>
              <w:autoSpaceDE w:val="0"/>
              <w:autoSpaceDN w:val="0"/>
              <w:ind w:firstLine="0" w:firstLineChars="0"/>
              <w:jc w:val="center"/>
              <w:rPr>
                <w:rFonts w:ascii="宋体" w:hAnsi="宋体" w:cs="宋体"/>
                <w:kern w:val="0"/>
                <w:sz w:val="22"/>
                <w:szCs w:val="22"/>
                <w:lang w:eastAsia="en-US"/>
              </w:rPr>
            </w:pPr>
          </w:p>
        </w:tc>
        <w:tc>
          <w:tcPr>
            <w:tcW w:w="3059" w:type="dxa"/>
            <w:tcBorders>
              <w:top w:val="single" w:color="auto" w:sz="4" w:space="0"/>
              <w:left w:val="single" w:color="auto" w:sz="4" w:space="0"/>
              <w:bottom w:val="single" w:color="auto" w:sz="4" w:space="0"/>
              <w:right w:val="single" w:color="auto" w:sz="4" w:space="0"/>
            </w:tcBorders>
            <w:vAlign w:val="center"/>
          </w:tcPr>
          <w:p w14:paraId="56FAB101">
            <w:pPr>
              <w:autoSpaceDE w:val="0"/>
              <w:autoSpaceDN w:val="0"/>
              <w:ind w:firstLine="0" w:firstLineChars="0"/>
              <w:jc w:val="left"/>
              <w:rPr>
                <w:rFonts w:ascii="宋体" w:hAnsi="宋体" w:cs="宋体"/>
                <w:kern w:val="0"/>
                <w:sz w:val="22"/>
                <w:szCs w:val="22"/>
                <w:lang w:eastAsia="en-US"/>
              </w:rPr>
            </w:pPr>
          </w:p>
        </w:tc>
        <w:tc>
          <w:tcPr>
            <w:tcW w:w="2409" w:type="dxa"/>
            <w:tcBorders>
              <w:top w:val="single" w:color="auto" w:sz="4" w:space="0"/>
              <w:left w:val="single" w:color="auto" w:sz="4" w:space="0"/>
              <w:bottom w:val="single" w:color="auto" w:sz="4" w:space="0"/>
              <w:right w:val="single" w:color="auto" w:sz="4" w:space="0"/>
            </w:tcBorders>
            <w:vAlign w:val="center"/>
          </w:tcPr>
          <w:p w14:paraId="5F0E544C">
            <w:pPr>
              <w:ind w:firstLine="0" w:firstLineChars="0"/>
              <w:jc w:val="center"/>
            </w:pPr>
          </w:p>
        </w:tc>
        <w:tc>
          <w:tcPr>
            <w:tcW w:w="1842" w:type="dxa"/>
            <w:tcBorders>
              <w:top w:val="single" w:color="auto" w:sz="4" w:space="0"/>
              <w:left w:val="single" w:color="auto" w:sz="4" w:space="0"/>
              <w:bottom w:val="single" w:color="auto" w:sz="4" w:space="0"/>
              <w:right w:val="single" w:color="auto" w:sz="4" w:space="0"/>
            </w:tcBorders>
            <w:vAlign w:val="center"/>
          </w:tcPr>
          <w:p w14:paraId="537AEB01">
            <w:pPr>
              <w:ind w:firstLine="0" w:firstLineChars="0"/>
              <w:jc w:val="center"/>
            </w:pPr>
          </w:p>
        </w:tc>
      </w:tr>
      <w:tr w14:paraId="7E523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29" w:type="dxa"/>
            <w:tcBorders>
              <w:top w:val="single" w:color="auto" w:sz="4" w:space="0"/>
              <w:left w:val="single" w:color="auto" w:sz="4" w:space="0"/>
              <w:bottom w:val="single" w:color="auto" w:sz="4" w:space="0"/>
              <w:right w:val="single" w:color="auto" w:sz="4" w:space="0"/>
            </w:tcBorders>
            <w:vAlign w:val="center"/>
          </w:tcPr>
          <w:p w14:paraId="699AFB60">
            <w:pPr>
              <w:ind w:firstLine="0" w:firstLineChars="0"/>
              <w:jc w:val="center"/>
            </w:pPr>
            <w:r>
              <w:t>……</w:t>
            </w:r>
          </w:p>
        </w:tc>
        <w:tc>
          <w:tcPr>
            <w:tcW w:w="3059" w:type="dxa"/>
            <w:tcBorders>
              <w:top w:val="single" w:color="auto" w:sz="4" w:space="0"/>
              <w:left w:val="single" w:color="auto" w:sz="4" w:space="0"/>
              <w:bottom w:val="single" w:color="auto" w:sz="4" w:space="0"/>
              <w:right w:val="single" w:color="auto" w:sz="4" w:space="0"/>
            </w:tcBorders>
            <w:vAlign w:val="center"/>
          </w:tcPr>
          <w:p w14:paraId="2EF05EDE">
            <w:pPr>
              <w:ind w:firstLine="0" w:firstLineChars="0"/>
              <w:jc w:val="center"/>
            </w:pPr>
          </w:p>
        </w:tc>
        <w:tc>
          <w:tcPr>
            <w:tcW w:w="2409" w:type="dxa"/>
            <w:tcBorders>
              <w:top w:val="single" w:color="auto" w:sz="4" w:space="0"/>
              <w:left w:val="single" w:color="auto" w:sz="4" w:space="0"/>
              <w:bottom w:val="single" w:color="auto" w:sz="4" w:space="0"/>
              <w:right w:val="single" w:color="auto" w:sz="4" w:space="0"/>
            </w:tcBorders>
            <w:vAlign w:val="center"/>
          </w:tcPr>
          <w:p w14:paraId="753BC89A">
            <w:pPr>
              <w:ind w:firstLine="0" w:firstLineChars="0"/>
              <w:jc w:val="center"/>
            </w:pPr>
          </w:p>
        </w:tc>
        <w:tc>
          <w:tcPr>
            <w:tcW w:w="1842" w:type="dxa"/>
            <w:tcBorders>
              <w:top w:val="single" w:color="auto" w:sz="4" w:space="0"/>
              <w:left w:val="single" w:color="auto" w:sz="4" w:space="0"/>
              <w:bottom w:val="single" w:color="auto" w:sz="4" w:space="0"/>
              <w:right w:val="single" w:color="auto" w:sz="4" w:space="0"/>
            </w:tcBorders>
            <w:vAlign w:val="center"/>
          </w:tcPr>
          <w:p w14:paraId="54894898">
            <w:pPr>
              <w:ind w:firstLine="0" w:firstLineChars="0"/>
              <w:jc w:val="center"/>
            </w:pPr>
          </w:p>
        </w:tc>
      </w:tr>
      <w:tr w14:paraId="5BB03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29" w:type="dxa"/>
            <w:tcBorders>
              <w:top w:val="single" w:color="auto" w:sz="4" w:space="0"/>
              <w:left w:val="single" w:color="auto" w:sz="4" w:space="0"/>
              <w:bottom w:val="single" w:color="auto" w:sz="4" w:space="0"/>
              <w:right w:val="single" w:color="auto" w:sz="4" w:space="0"/>
            </w:tcBorders>
            <w:vAlign w:val="center"/>
          </w:tcPr>
          <w:p w14:paraId="64979EE2">
            <w:pPr>
              <w:ind w:firstLine="0" w:firstLineChars="0"/>
              <w:jc w:val="center"/>
            </w:pPr>
          </w:p>
        </w:tc>
        <w:tc>
          <w:tcPr>
            <w:tcW w:w="3059" w:type="dxa"/>
            <w:tcBorders>
              <w:top w:val="single" w:color="auto" w:sz="4" w:space="0"/>
              <w:left w:val="single" w:color="auto" w:sz="4" w:space="0"/>
              <w:bottom w:val="single" w:color="auto" w:sz="4" w:space="0"/>
              <w:right w:val="single" w:color="auto" w:sz="4" w:space="0"/>
            </w:tcBorders>
            <w:vAlign w:val="center"/>
          </w:tcPr>
          <w:p w14:paraId="3900ECEB">
            <w:pPr>
              <w:ind w:firstLine="0" w:firstLineChars="0"/>
              <w:jc w:val="center"/>
            </w:pPr>
          </w:p>
        </w:tc>
        <w:tc>
          <w:tcPr>
            <w:tcW w:w="2409" w:type="dxa"/>
            <w:tcBorders>
              <w:top w:val="single" w:color="auto" w:sz="4" w:space="0"/>
              <w:left w:val="single" w:color="auto" w:sz="4" w:space="0"/>
              <w:bottom w:val="single" w:color="auto" w:sz="4" w:space="0"/>
              <w:right w:val="single" w:color="auto" w:sz="4" w:space="0"/>
            </w:tcBorders>
            <w:vAlign w:val="center"/>
          </w:tcPr>
          <w:p w14:paraId="5DC6FF6A">
            <w:pPr>
              <w:ind w:firstLine="0" w:firstLineChars="0"/>
              <w:jc w:val="center"/>
            </w:pPr>
          </w:p>
        </w:tc>
        <w:tc>
          <w:tcPr>
            <w:tcW w:w="1842" w:type="dxa"/>
            <w:tcBorders>
              <w:top w:val="single" w:color="auto" w:sz="4" w:space="0"/>
              <w:left w:val="single" w:color="auto" w:sz="4" w:space="0"/>
              <w:bottom w:val="single" w:color="auto" w:sz="4" w:space="0"/>
              <w:right w:val="single" w:color="auto" w:sz="4" w:space="0"/>
            </w:tcBorders>
            <w:vAlign w:val="center"/>
          </w:tcPr>
          <w:p w14:paraId="1C463036">
            <w:pPr>
              <w:ind w:firstLine="0" w:firstLineChars="0"/>
              <w:jc w:val="center"/>
            </w:pPr>
          </w:p>
        </w:tc>
      </w:tr>
    </w:tbl>
    <w:p w14:paraId="2F5D1187">
      <w:pPr>
        <w:ind w:firstLine="0" w:firstLineChars="0"/>
      </w:pPr>
      <w:r>
        <w:t>注：主要针对招标文件</w:t>
      </w:r>
      <w:r>
        <w:rPr>
          <w:rFonts w:hint="eastAsia"/>
        </w:rPr>
        <w:t>“</w:t>
      </w:r>
      <w:r>
        <w:t>第二章  招标需求</w:t>
      </w:r>
      <w:r>
        <w:rPr>
          <w:rFonts w:hint="eastAsia"/>
        </w:rPr>
        <w:t>”</w:t>
      </w:r>
      <w:r>
        <w:t>的</w:t>
      </w:r>
      <w:r>
        <w:rPr>
          <w:rFonts w:hint="eastAsia"/>
        </w:rPr>
        <w:t>“一、</w:t>
      </w:r>
      <w:r>
        <w:t>商务要求</w:t>
      </w:r>
      <w:r>
        <w:rPr>
          <w:rFonts w:hint="eastAsia"/>
        </w:rPr>
        <w:t>”</w:t>
      </w:r>
      <w:r>
        <w:t>内容逐条响应，并在“偏离情况”栏注明“正偏离”、“负偏离”或“无偏离”，如未注明，招标人则视投标人完全接受和满足招标文件规定的要求。</w:t>
      </w:r>
    </w:p>
    <w:p w14:paraId="19156BB2">
      <w:pPr>
        <w:ind w:firstLine="0" w:firstLineChars="0"/>
      </w:pPr>
    </w:p>
    <w:p w14:paraId="6FA547AE">
      <w:pPr>
        <w:ind w:firstLine="0" w:firstLineChars="0"/>
      </w:pPr>
      <w:r>
        <w:t>法定代表人或授权代表（签章）：</w:t>
      </w:r>
    </w:p>
    <w:p w14:paraId="49360702">
      <w:pPr>
        <w:ind w:firstLine="0" w:firstLineChars="0"/>
      </w:pPr>
      <w:r>
        <w:t>投标人名称（盖章）：</w:t>
      </w:r>
    </w:p>
    <w:p w14:paraId="29EC4EDF">
      <w:pPr>
        <w:ind w:firstLine="0" w:firstLineChars="0"/>
        <w:jc w:val="right"/>
      </w:pPr>
      <w:r>
        <w:t>日期：  年   月   日</w:t>
      </w:r>
    </w:p>
    <w:p w14:paraId="371C9C3D">
      <w:pPr>
        <w:adjustRightInd w:val="0"/>
        <w:snapToGrid w:val="0"/>
        <w:ind w:firstLine="480"/>
        <w:rPr>
          <w:sz w:val="24"/>
        </w:rPr>
      </w:pPr>
    </w:p>
    <w:p w14:paraId="22B5592A">
      <w:pPr>
        <w:adjustRightInd w:val="0"/>
        <w:snapToGrid w:val="0"/>
        <w:ind w:firstLine="480"/>
        <w:rPr>
          <w:sz w:val="24"/>
        </w:rPr>
      </w:pPr>
    </w:p>
    <w:p w14:paraId="283F506D">
      <w:pPr>
        <w:keepNext/>
        <w:keepLines/>
        <w:ind w:firstLine="0" w:firstLineChars="0"/>
        <w:outlineLvl w:val="2"/>
        <w:rPr>
          <w:b/>
          <w:kern w:val="0"/>
        </w:rPr>
      </w:pPr>
      <w:r>
        <w:rPr>
          <w:b/>
          <w:kern w:val="0"/>
          <w:sz w:val="24"/>
        </w:rPr>
        <w:br w:type="page"/>
      </w:r>
      <w:r>
        <w:rPr>
          <w:rFonts w:hint="eastAsia"/>
          <w:b/>
          <w:kern w:val="0"/>
          <w:szCs w:val="21"/>
        </w:rPr>
        <w:t>3</w:t>
      </w:r>
      <w:r>
        <w:rPr>
          <w:b/>
          <w:kern w:val="0"/>
          <w:szCs w:val="21"/>
        </w:rPr>
        <w:t>. 技术响应表</w:t>
      </w:r>
    </w:p>
    <w:p w14:paraId="3FE8DF57">
      <w:pPr>
        <w:ind w:firstLine="0" w:firstLineChars="0"/>
        <w:jc w:val="center"/>
        <w:rPr>
          <w:b/>
          <w:bCs/>
        </w:rPr>
      </w:pPr>
      <w:r>
        <w:rPr>
          <w:b/>
          <w:bCs/>
        </w:rPr>
        <w:t>技术响应表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00"/>
        <w:gridCol w:w="2669"/>
        <w:gridCol w:w="2115"/>
        <w:gridCol w:w="2157"/>
      </w:tblGrid>
      <w:tr w14:paraId="2E2C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Align w:val="center"/>
          </w:tcPr>
          <w:p w14:paraId="5D225554">
            <w:pPr>
              <w:ind w:firstLine="0" w:firstLineChars="0"/>
              <w:jc w:val="center"/>
            </w:pPr>
            <w:bookmarkStart w:id="44" w:name="_Toc83476753"/>
            <w:bookmarkStart w:id="45" w:name="_Toc51656393"/>
            <w:bookmarkStart w:id="46" w:name="_Toc24082"/>
            <w:bookmarkStart w:id="47" w:name="_Toc83554784"/>
            <w:bookmarkStart w:id="48" w:name="_Toc12199"/>
            <w:r>
              <w:t>条款号</w:t>
            </w:r>
            <w:bookmarkEnd w:id="44"/>
            <w:bookmarkEnd w:id="45"/>
            <w:bookmarkEnd w:id="46"/>
            <w:bookmarkEnd w:id="47"/>
            <w:bookmarkEnd w:id="48"/>
          </w:p>
        </w:tc>
        <w:tc>
          <w:tcPr>
            <w:tcW w:w="1200" w:type="dxa"/>
            <w:vAlign w:val="center"/>
          </w:tcPr>
          <w:p w14:paraId="2CCA680F">
            <w:pPr>
              <w:ind w:firstLine="0" w:firstLineChars="0"/>
              <w:jc w:val="center"/>
            </w:pPr>
            <w:bookmarkStart w:id="49" w:name="_Toc51656394"/>
            <w:bookmarkStart w:id="50" w:name="_Toc83476754"/>
            <w:bookmarkStart w:id="51" w:name="_Toc21048"/>
            <w:bookmarkStart w:id="52" w:name="_Toc26003"/>
            <w:bookmarkStart w:id="53" w:name="_Toc83554785"/>
            <w:r>
              <w:t>名称</w:t>
            </w:r>
            <w:bookmarkEnd w:id="49"/>
            <w:bookmarkEnd w:id="50"/>
            <w:bookmarkEnd w:id="51"/>
            <w:bookmarkEnd w:id="52"/>
            <w:bookmarkEnd w:id="53"/>
          </w:p>
        </w:tc>
        <w:tc>
          <w:tcPr>
            <w:tcW w:w="2669" w:type="dxa"/>
            <w:vAlign w:val="center"/>
          </w:tcPr>
          <w:p w14:paraId="56ED06B6">
            <w:pPr>
              <w:ind w:firstLine="0" w:firstLineChars="0"/>
              <w:jc w:val="center"/>
            </w:pPr>
            <w:bookmarkStart w:id="54" w:name="_Toc27169"/>
            <w:bookmarkStart w:id="55" w:name="_Toc83554786"/>
            <w:bookmarkStart w:id="56" w:name="_Toc51656395"/>
            <w:bookmarkStart w:id="57" w:name="_Toc83476755"/>
            <w:bookmarkStart w:id="58" w:name="_Toc16766"/>
            <w:r>
              <w:t>招标文件技术需求</w:t>
            </w:r>
            <w:bookmarkEnd w:id="54"/>
            <w:bookmarkEnd w:id="55"/>
            <w:bookmarkEnd w:id="56"/>
            <w:bookmarkEnd w:id="57"/>
            <w:bookmarkEnd w:id="58"/>
          </w:p>
        </w:tc>
        <w:tc>
          <w:tcPr>
            <w:tcW w:w="2115" w:type="dxa"/>
            <w:vAlign w:val="center"/>
          </w:tcPr>
          <w:p w14:paraId="1527E138">
            <w:pPr>
              <w:ind w:firstLine="0" w:firstLineChars="0"/>
              <w:jc w:val="center"/>
            </w:pPr>
            <w:bookmarkStart w:id="59" w:name="_Toc83476756"/>
            <w:bookmarkStart w:id="60" w:name="_Toc51656396"/>
            <w:bookmarkStart w:id="61" w:name="_Toc26220"/>
            <w:bookmarkStart w:id="62" w:name="_Toc18614"/>
            <w:bookmarkStart w:id="63" w:name="_Toc83554787"/>
            <w:r>
              <w:t>投标人的承诺和说明</w:t>
            </w:r>
            <w:bookmarkEnd w:id="59"/>
            <w:bookmarkEnd w:id="60"/>
            <w:bookmarkEnd w:id="61"/>
            <w:bookmarkEnd w:id="62"/>
            <w:bookmarkEnd w:id="63"/>
          </w:p>
        </w:tc>
        <w:tc>
          <w:tcPr>
            <w:tcW w:w="2157" w:type="dxa"/>
            <w:vAlign w:val="center"/>
          </w:tcPr>
          <w:p w14:paraId="404B9AA2">
            <w:pPr>
              <w:ind w:firstLine="0" w:firstLineChars="0"/>
              <w:jc w:val="center"/>
            </w:pPr>
            <w:bookmarkStart w:id="64" w:name="_Toc83554788"/>
            <w:bookmarkStart w:id="65" w:name="_Toc51656397"/>
            <w:bookmarkStart w:id="66" w:name="_Toc83476757"/>
            <w:bookmarkStart w:id="67" w:name="_Toc28653"/>
            <w:bookmarkStart w:id="68" w:name="_Toc30797"/>
            <w:r>
              <w:t>偏离情况</w:t>
            </w:r>
            <w:bookmarkEnd w:id="64"/>
            <w:bookmarkEnd w:id="65"/>
            <w:bookmarkEnd w:id="66"/>
            <w:bookmarkEnd w:id="67"/>
            <w:bookmarkEnd w:id="68"/>
          </w:p>
        </w:tc>
      </w:tr>
      <w:tr w14:paraId="674E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tcPr>
          <w:p w14:paraId="4AF700C8">
            <w:pPr>
              <w:ind w:firstLine="0" w:firstLineChars="0"/>
              <w:jc w:val="center"/>
            </w:pPr>
          </w:p>
        </w:tc>
        <w:tc>
          <w:tcPr>
            <w:tcW w:w="1200" w:type="dxa"/>
          </w:tcPr>
          <w:p w14:paraId="71435EE0">
            <w:pPr>
              <w:ind w:firstLine="0" w:firstLineChars="0"/>
              <w:jc w:val="center"/>
            </w:pPr>
          </w:p>
        </w:tc>
        <w:tc>
          <w:tcPr>
            <w:tcW w:w="2669" w:type="dxa"/>
          </w:tcPr>
          <w:p w14:paraId="2ACA1CAA">
            <w:pPr>
              <w:ind w:firstLine="0" w:firstLineChars="0"/>
              <w:jc w:val="center"/>
            </w:pPr>
          </w:p>
        </w:tc>
        <w:tc>
          <w:tcPr>
            <w:tcW w:w="2115" w:type="dxa"/>
          </w:tcPr>
          <w:p w14:paraId="6BC2E40C">
            <w:pPr>
              <w:ind w:firstLine="0" w:firstLineChars="0"/>
              <w:jc w:val="center"/>
            </w:pPr>
          </w:p>
        </w:tc>
        <w:tc>
          <w:tcPr>
            <w:tcW w:w="2157" w:type="dxa"/>
          </w:tcPr>
          <w:p w14:paraId="16B5740E">
            <w:pPr>
              <w:ind w:firstLine="0" w:firstLineChars="0"/>
              <w:jc w:val="center"/>
            </w:pPr>
          </w:p>
        </w:tc>
      </w:tr>
      <w:tr w14:paraId="63E1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tcPr>
          <w:p w14:paraId="092C5555">
            <w:pPr>
              <w:ind w:firstLine="0" w:firstLineChars="0"/>
              <w:jc w:val="center"/>
            </w:pPr>
          </w:p>
        </w:tc>
        <w:tc>
          <w:tcPr>
            <w:tcW w:w="1200" w:type="dxa"/>
          </w:tcPr>
          <w:p w14:paraId="4023123B">
            <w:pPr>
              <w:ind w:firstLine="0" w:firstLineChars="0"/>
              <w:jc w:val="center"/>
            </w:pPr>
          </w:p>
        </w:tc>
        <w:tc>
          <w:tcPr>
            <w:tcW w:w="2669" w:type="dxa"/>
          </w:tcPr>
          <w:p w14:paraId="2B57B23D">
            <w:pPr>
              <w:ind w:firstLine="0" w:firstLineChars="0"/>
              <w:jc w:val="center"/>
            </w:pPr>
          </w:p>
        </w:tc>
        <w:tc>
          <w:tcPr>
            <w:tcW w:w="2115" w:type="dxa"/>
          </w:tcPr>
          <w:p w14:paraId="6BBF07E5">
            <w:pPr>
              <w:ind w:firstLine="0" w:firstLineChars="0"/>
              <w:jc w:val="center"/>
            </w:pPr>
          </w:p>
        </w:tc>
        <w:tc>
          <w:tcPr>
            <w:tcW w:w="2157" w:type="dxa"/>
          </w:tcPr>
          <w:p w14:paraId="58994F9F">
            <w:pPr>
              <w:ind w:firstLine="0" w:firstLineChars="0"/>
              <w:jc w:val="center"/>
            </w:pPr>
          </w:p>
        </w:tc>
      </w:tr>
      <w:tr w14:paraId="6DDC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tcPr>
          <w:p w14:paraId="26BC63FA">
            <w:pPr>
              <w:ind w:firstLine="0" w:firstLineChars="0"/>
              <w:jc w:val="center"/>
            </w:pPr>
          </w:p>
        </w:tc>
        <w:tc>
          <w:tcPr>
            <w:tcW w:w="1200" w:type="dxa"/>
          </w:tcPr>
          <w:p w14:paraId="56FDF069">
            <w:pPr>
              <w:ind w:firstLine="0" w:firstLineChars="0"/>
              <w:jc w:val="center"/>
            </w:pPr>
          </w:p>
        </w:tc>
        <w:tc>
          <w:tcPr>
            <w:tcW w:w="2669" w:type="dxa"/>
          </w:tcPr>
          <w:p w14:paraId="18159876">
            <w:pPr>
              <w:ind w:firstLine="0" w:firstLineChars="0"/>
              <w:jc w:val="center"/>
            </w:pPr>
          </w:p>
        </w:tc>
        <w:tc>
          <w:tcPr>
            <w:tcW w:w="2115" w:type="dxa"/>
          </w:tcPr>
          <w:p w14:paraId="0FEB211D">
            <w:pPr>
              <w:ind w:firstLine="0" w:firstLineChars="0"/>
              <w:jc w:val="center"/>
            </w:pPr>
          </w:p>
        </w:tc>
        <w:tc>
          <w:tcPr>
            <w:tcW w:w="2157" w:type="dxa"/>
          </w:tcPr>
          <w:p w14:paraId="1F2CFECF">
            <w:pPr>
              <w:ind w:firstLine="0" w:firstLineChars="0"/>
              <w:jc w:val="center"/>
            </w:pPr>
          </w:p>
        </w:tc>
      </w:tr>
      <w:tr w14:paraId="76C4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Align w:val="center"/>
          </w:tcPr>
          <w:p w14:paraId="3B8A443A">
            <w:pPr>
              <w:ind w:firstLine="0" w:firstLineChars="0"/>
              <w:jc w:val="center"/>
            </w:pPr>
          </w:p>
        </w:tc>
        <w:tc>
          <w:tcPr>
            <w:tcW w:w="1200" w:type="dxa"/>
            <w:vAlign w:val="center"/>
          </w:tcPr>
          <w:p w14:paraId="41FF2070">
            <w:pPr>
              <w:ind w:firstLine="0" w:firstLineChars="0"/>
              <w:jc w:val="center"/>
            </w:pPr>
          </w:p>
        </w:tc>
        <w:tc>
          <w:tcPr>
            <w:tcW w:w="2669" w:type="dxa"/>
            <w:vAlign w:val="center"/>
          </w:tcPr>
          <w:p w14:paraId="123AAD69">
            <w:pPr>
              <w:ind w:firstLine="0" w:firstLineChars="0"/>
              <w:jc w:val="center"/>
            </w:pPr>
          </w:p>
        </w:tc>
        <w:tc>
          <w:tcPr>
            <w:tcW w:w="2115" w:type="dxa"/>
          </w:tcPr>
          <w:p w14:paraId="5AEC6217">
            <w:pPr>
              <w:ind w:firstLine="0" w:firstLineChars="0"/>
              <w:jc w:val="center"/>
            </w:pPr>
          </w:p>
        </w:tc>
        <w:tc>
          <w:tcPr>
            <w:tcW w:w="2157" w:type="dxa"/>
          </w:tcPr>
          <w:p w14:paraId="6D796924">
            <w:pPr>
              <w:ind w:firstLine="0" w:firstLineChars="0"/>
              <w:jc w:val="center"/>
            </w:pPr>
          </w:p>
        </w:tc>
      </w:tr>
      <w:tr w14:paraId="7E5D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Align w:val="center"/>
          </w:tcPr>
          <w:p w14:paraId="38CEE5CE">
            <w:pPr>
              <w:ind w:firstLine="0" w:firstLineChars="0"/>
              <w:jc w:val="center"/>
            </w:pPr>
          </w:p>
        </w:tc>
        <w:tc>
          <w:tcPr>
            <w:tcW w:w="1200" w:type="dxa"/>
            <w:vAlign w:val="center"/>
          </w:tcPr>
          <w:p w14:paraId="79249EE1">
            <w:pPr>
              <w:ind w:firstLine="0" w:firstLineChars="0"/>
              <w:jc w:val="center"/>
            </w:pPr>
          </w:p>
        </w:tc>
        <w:tc>
          <w:tcPr>
            <w:tcW w:w="2669" w:type="dxa"/>
            <w:vAlign w:val="center"/>
          </w:tcPr>
          <w:p w14:paraId="5F074017">
            <w:pPr>
              <w:ind w:firstLine="0" w:firstLineChars="0"/>
              <w:jc w:val="center"/>
            </w:pPr>
          </w:p>
        </w:tc>
        <w:tc>
          <w:tcPr>
            <w:tcW w:w="2115" w:type="dxa"/>
          </w:tcPr>
          <w:p w14:paraId="2106151B">
            <w:pPr>
              <w:ind w:firstLine="0" w:firstLineChars="0"/>
              <w:jc w:val="center"/>
            </w:pPr>
          </w:p>
        </w:tc>
        <w:tc>
          <w:tcPr>
            <w:tcW w:w="2157" w:type="dxa"/>
          </w:tcPr>
          <w:p w14:paraId="7E950D04">
            <w:pPr>
              <w:ind w:firstLine="0" w:firstLineChars="0"/>
              <w:jc w:val="center"/>
            </w:pPr>
          </w:p>
        </w:tc>
      </w:tr>
      <w:tr w14:paraId="6D2C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Align w:val="center"/>
          </w:tcPr>
          <w:p w14:paraId="22A2BA2F">
            <w:pPr>
              <w:ind w:firstLine="0" w:firstLineChars="0"/>
              <w:jc w:val="center"/>
            </w:pPr>
          </w:p>
        </w:tc>
        <w:tc>
          <w:tcPr>
            <w:tcW w:w="1200" w:type="dxa"/>
            <w:vAlign w:val="center"/>
          </w:tcPr>
          <w:p w14:paraId="5B26D27D">
            <w:pPr>
              <w:ind w:firstLine="0" w:firstLineChars="0"/>
              <w:jc w:val="center"/>
            </w:pPr>
          </w:p>
        </w:tc>
        <w:tc>
          <w:tcPr>
            <w:tcW w:w="2669" w:type="dxa"/>
            <w:vAlign w:val="center"/>
          </w:tcPr>
          <w:p w14:paraId="5E8E5634">
            <w:pPr>
              <w:ind w:firstLine="0" w:firstLineChars="0"/>
              <w:jc w:val="center"/>
            </w:pPr>
          </w:p>
        </w:tc>
        <w:tc>
          <w:tcPr>
            <w:tcW w:w="2115" w:type="dxa"/>
          </w:tcPr>
          <w:p w14:paraId="7AB30744">
            <w:pPr>
              <w:ind w:firstLine="0" w:firstLineChars="0"/>
              <w:jc w:val="center"/>
            </w:pPr>
          </w:p>
        </w:tc>
        <w:tc>
          <w:tcPr>
            <w:tcW w:w="2157" w:type="dxa"/>
          </w:tcPr>
          <w:p w14:paraId="5ECCC834">
            <w:pPr>
              <w:ind w:firstLine="0" w:firstLineChars="0"/>
              <w:jc w:val="center"/>
            </w:pPr>
          </w:p>
        </w:tc>
      </w:tr>
      <w:tr w14:paraId="0130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8" w:type="dxa"/>
            <w:vAlign w:val="center"/>
          </w:tcPr>
          <w:p w14:paraId="36F3DE4E">
            <w:pPr>
              <w:ind w:firstLine="0" w:firstLineChars="0"/>
              <w:jc w:val="center"/>
            </w:pPr>
          </w:p>
        </w:tc>
        <w:tc>
          <w:tcPr>
            <w:tcW w:w="1200" w:type="dxa"/>
            <w:vAlign w:val="center"/>
          </w:tcPr>
          <w:p w14:paraId="05E6EA3A">
            <w:pPr>
              <w:ind w:firstLine="0" w:firstLineChars="0"/>
              <w:jc w:val="center"/>
            </w:pPr>
          </w:p>
        </w:tc>
        <w:tc>
          <w:tcPr>
            <w:tcW w:w="2669" w:type="dxa"/>
            <w:vAlign w:val="center"/>
          </w:tcPr>
          <w:p w14:paraId="341499B3">
            <w:pPr>
              <w:ind w:firstLine="0" w:firstLineChars="0"/>
              <w:jc w:val="center"/>
            </w:pPr>
          </w:p>
        </w:tc>
        <w:tc>
          <w:tcPr>
            <w:tcW w:w="2115" w:type="dxa"/>
          </w:tcPr>
          <w:p w14:paraId="2CD2775A">
            <w:pPr>
              <w:ind w:firstLine="0" w:firstLineChars="0"/>
              <w:jc w:val="center"/>
            </w:pPr>
          </w:p>
        </w:tc>
        <w:tc>
          <w:tcPr>
            <w:tcW w:w="2157" w:type="dxa"/>
          </w:tcPr>
          <w:p w14:paraId="22A83A16">
            <w:pPr>
              <w:ind w:firstLine="0" w:firstLineChars="0"/>
              <w:jc w:val="center"/>
            </w:pPr>
          </w:p>
        </w:tc>
      </w:tr>
      <w:tr w14:paraId="6CE6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14:paraId="2886555B">
            <w:pPr>
              <w:ind w:firstLine="0" w:firstLineChars="0"/>
              <w:jc w:val="center"/>
            </w:pPr>
          </w:p>
        </w:tc>
        <w:tc>
          <w:tcPr>
            <w:tcW w:w="1200" w:type="dxa"/>
          </w:tcPr>
          <w:p w14:paraId="2191A7B5">
            <w:pPr>
              <w:ind w:firstLine="0" w:firstLineChars="0"/>
              <w:jc w:val="center"/>
            </w:pPr>
          </w:p>
        </w:tc>
        <w:tc>
          <w:tcPr>
            <w:tcW w:w="2669" w:type="dxa"/>
          </w:tcPr>
          <w:p w14:paraId="02C05E41">
            <w:pPr>
              <w:ind w:firstLine="0" w:firstLineChars="0"/>
              <w:jc w:val="center"/>
            </w:pPr>
          </w:p>
        </w:tc>
        <w:tc>
          <w:tcPr>
            <w:tcW w:w="2115" w:type="dxa"/>
          </w:tcPr>
          <w:p w14:paraId="63E8806A">
            <w:pPr>
              <w:ind w:firstLine="0" w:firstLineChars="0"/>
              <w:jc w:val="center"/>
            </w:pPr>
          </w:p>
        </w:tc>
        <w:tc>
          <w:tcPr>
            <w:tcW w:w="2157" w:type="dxa"/>
          </w:tcPr>
          <w:p w14:paraId="46A6A4AC">
            <w:pPr>
              <w:ind w:firstLine="0" w:firstLineChars="0"/>
              <w:jc w:val="center"/>
            </w:pPr>
          </w:p>
        </w:tc>
      </w:tr>
    </w:tbl>
    <w:p w14:paraId="718D533B">
      <w:pPr>
        <w:ind w:firstLine="0" w:firstLineChars="0"/>
      </w:pPr>
      <w:r>
        <w:t>注：</w:t>
      </w:r>
    </w:p>
    <w:p w14:paraId="44A2D66D">
      <w:pPr>
        <w:ind w:firstLine="0" w:firstLineChars="0"/>
      </w:pPr>
      <w:r>
        <w:t>投标人应对招标文件</w:t>
      </w:r>
      <w:r>
        <w:rPr>
          <w:rFonts w:hint="eastAsia"/>
        </w:rPr>
        <w:t>“</w:t>
      </w:r>
      <w:r>
        <w:t>第二章  招标需求</w:t>
      </w:r>
      <w:r>
        <w:rPr>
          <w:rFonts w:hint="eastAsia"/>
        </w:rPr>
        <w:t>”</w:t>
      </w:r>
      <w:r>
        <w:t>的</w:t>
      </w:r>
      <w:r>
        <w:rPr>
          <w:rFonts w:hint="eastAsia"/>
        </w:rPr>
        <w:t>“二、技术规格书”</w:t>
      </w:r>
      <w:r>
        <w:t>内容逐条响应，在“偏离情况”栏注明“正偏离”、“负偏离”或“无偏离”，如未注明，招标人则视投标人完全接受和满足招标文件规定的要求。</w:t>
      </w:r>
    </w:p>
    <w:p w14:paraId="346B817E">
      <w:pPr>
        <w:ind w:firstLine="0" w:firstLineChars="0"/>
      </w:pPr>
    </w:p>
    <w:p w14:paraId="511A7456">
      <w:pPr>
        <w:ind w:firstLine="0" w:firstLineChars="0"/>
      </w:pPr>
      <w:r>
        <w:t>法定代表人或授权代表（签章）：</w:t>
      </w:r>
    </w:p>
    <w:p w14:paraId="2E16FB59">
      <w:pPr>
        <w:ind w:firstLine="0" w:firstLineChars="0"/>
      </w:pPr>
      <w:r>
        <w:t>投标人名称（盖章）：</w:t>
      </w:r>
    </w:p>
    <w:p w14:paraId="1EC7DA73">
      <w:pPr>
        <w:ind w:firstLine="0" w:firstLineChars="0"/>
        <w:jc w:val="right"/>
      </w:pPr>
      <w:r>
        <w:t>日期：  年   月   日</w:t>
      </w:r>
    </w:p>
    <w:p w14:paraId="31FAB340">
      <w:pPr>
        <w:spacing w:before="156" w:beforeLines="50"/>
        <w:ind w:firstLine="0" w:firstLineChars="0"/>
      </w:pPr>
    </w:p>
    <w:p w14:paraId="56A4C7D6">
      <w:pPr>
        <w:ind w:firstLine="0" w:firstLineChars="0"/>
        <w:jc w:val="right"/>
      </w:pPr>
    </w:p>
    <w:p w14:paraId="212A7E64">
      <w:pPr>
        <w:ind w:firstLine="420"/>
      </w:pPr>
    </w:p>
    <w:p w14:paraId="23AF41A4">
      <w:pPr>
        <w:keepNext/>
        <w:keepLines/>
        <w:ind w:firstLine="422"/>
        <w:outlineLvl w:val="2"/>
        <w:rPr>
          <w:b/>
          <w:kern w:val="0"/>
          <w:lang w:val="zh-CN"/>
        </w:rPr>
      </w:pPr>
      <w:r>
        <w:rPr>
          <w:b/>
          <w:kern w:val="0"/>
          <w:szCs w:val="21"/>
          <w:lang w:val="zh-CN"/>
        </w:rPr>
        <w:br w:type="page"/>
      </w:r>
      <w:r>
        <w:rPr>
          <w:rFonts w:hint="eastAsia"/>
          <w:b/>
          <w:kern w:val="0"/>
          <w:szCs w:val="21"/>
        </w:rPr>
        <w:t>3</w:t>
      </w:r>
      <w:r>
        <w:rPr>
          <w:b/>
          <w:kern w:val="0"/>
        </w:rPr>
        <w:t xml:space="preserve">. </w:t>
      </w:r>
      <w:r>
        <w:rPr>
          <w:b/>
          <w:kern w:val="0"/>
          <w:lang w:val="zh-CN"/>
        </w:rPr>
        <w:t>业绩</w:t>
      </w:r>
    </w:p>
    <w:p w14:paraId="45D2316A">
      <w:pPr>
        <w:ind w:firstLine="0" w:firstLineChars="0"/>
        <w:jc w:val="center"/>
        <w:rPr>
          <w:b/>
          <w:bCs/>
          <w:szCs w:val="21"/>
        </w:rPr>
      </w:pPr>
      <w:r>
        <w:rPr>
          <w:b/>
          <w:bCs/>
        </w:rPr>
        <w:t>同类项目业绩表</w:t>
      </w:r>
    </w:p>
    <w:p w14:paraId="274C105D">
      <w:pPr>
        <w:snapToGrid w:val="0"/>
        <w:spacing w:before="50" w:after="50"/>
        <w:ind w:firstLine="210" w:firstLineChars="100"/>
        <w:rPr>
          <w:szCs w:val="21"/>
          <w:u w:val="single"/>
        </w:rPr>
      </w:pPr>
    </w:p>
    <w:tbl>
      <w:tblPr>
        <w:tblStyle w:val="44"/>
        <w:tblW w:w="8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223"/>
        <w:gridCol w:w="1639"/>
        <w:gridCol w:w="1223"/>
        <w:gridCol w:w="2146"/>
      </w:tblGrid>
      <w:tr w14:paraId="5F33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91" w:type="dxa"/>
            <w:vAlign w:val="center"/>
          </w:tcPr>
          <w:p w14:paraId="00FBA445">
            <w:pPr>
              <w:ind w:firstLine="0" w:firstLineChars="0"/>
              <w:jc w:val="center"/>
              <w:rPr>
                <w:b/>
                <w:bCs/>
              </w:rPr>
            </w:pPr>
            <w:r>
              <w:rPr>
                <w:b/>
                <w:bCs/>
              </w:rPr>
              <w:t>项目名称</w:t>
            </w:r>
          </w:p>
          <w:p w14:paraId="01B4BF21">
            <w:pPr>
              <w:ind w:firstLine="0" w:firstLineChars="0"/>
              <w:jc w:val="center"/>
              <w:rPr>
                <w:b/>
                <w:bCs/>
              </w:rPr>
            </w:pPr>
            <w:r>
              <w:rPr>
                <w:b/>
                <w:bCs/>
              </w:rPr>
              <w:t>（主要实施内容）</w:t>
            </w:r>
          </w:p>
        </w:tc>
        <w:tc>
          <w:tcPr>
            <w:tcW w:w="1223" w:type="dxa"/>
            <w:vAlign w:val="center"/>
          </w:tcPr>
          <w:p w14:paraId="42001A0C">
            <w:pPr>
              <w:ind w:firstLine="0" w:firstLineChars="0"/>
              <w:jc w:val="center"/>
              <w:rPr>
                <w:b/>
                <w:bCs/>
              </w:rPr>
            </w:pPr>
            <w:r>
              <w:rPr>
                <w:b/>
                <w:bCs/>
              </w:rPr>
              <w:t>采购方</w:t>
            </w:r>
          </w:p>
        </w:tc>
        <w:tc>
          <w:tcPr>
            <w:tcW w:w="1639" w:type="dxa"/>
            <w:vAlign w:val="center"/>
          </w:tcPr>
          <w:p w14:paraId="6B72CADE">
            <w:pPr>
              <w:ind w:firstLine="0" w:firstLineChars="0"/>
              <w:jc w:val="center"/>
              <w:rPr>
                <w:b/>
                <w:bCs/>
              </w:rPr>
            </w:pPr>
            <w:r>
              <w:rPr>
                <w:b/>
                <w:bCs/>
              </w:rPr>
              <w:t>合同签订时间</w:t>
            </w:r>
          </w:p>
        </w:tc>
        <w:tc>
          <w:tcPr>
            <w:tcW w:w="1223" w:type="dxa"/>
            <w:vAlign w:val="center"/>
          </w:tcPr>
          <w:p w14:paraId="161606C0">
            <w:pPr>
              <w:ind w:firstLine="0" w:firstLineChars="0"/>
              <w:jc w:val="center"/>
              <w:rPr>
                <w:b/>
                <w:bCs/>
              </w:rPr>
            </w:pPr>
            <w:r>
              <w:rPr>
                <w:b/>
                <w:bCs/>
              </w:rPr>
              <w:t>合同价</w:t>
            </w:r>
          </w:p>
        </w:tc>
        <w:tc>
          <w:tcPr>
            <w:tcW w:w="2146" w:type="dxa"/>
            <w:vAlign w:val="center"/>
          </w:tcPr>
          <w:p w14:paraId="038A2F0F">
            <w:pPr>
              <w:ind w:firstLine="0" w:firstLineChars="0"/>
              <w:jc w:val="center"/>
              <w:rPr>
                <w:b/>
                <w:bCs/>
              </w:rPr>
            </w:pPr>
            <w:r>
              <w:rPr>
                <w:b/>
                <w:bCs/>
              </w:rPr>
              <w:t>联系人、联系方式</w:t>
            </w:r>
          </w:p>
        </w:tc>
      </w:tr>
      <w:tr w14:paraId="3D46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91" w:type="dxa"/>
          </w:tcPr>
          <w:p w14:paraId="747CD211">
            <w:pPr>
              <w:ind w:firstLine="0" w:firstLineChars="0"/>
              <w:jc w:val="center"/>
            </w:pPr>
          </w:p>
        </w:tc>
        <w:tc>
          <w:tcPr>
            <w:tcW w:w="1223" w:type="dxa"/>
          </w:tcPr>
          <w:p w14:paraId="53D39C03">
            <w:pPr>
              <w:ind w:firstLine="0" w:firstLineChars="0"/>
              <w:jc w:val="center"/>
            </w:pPr>
          </w:p>
        </w:tc>
        <w:tc>
          <w:tcPr>
            <w:tcW w:w="1639" w:type="dxa"/>
          </w:tcPr>
          <w:p w14:paraId="2B57A190">
            <w:pPr>
              <w:ind w:firstLine="0" w:firstLineChars="0"/>
              <w:jc w:val="center"/>
            </w:pPr>
          </w:p>
        </w:tc>
        <w:tc>
          <w:tcPr>
            <w:tcW w:w="1223" w:type="dxa"/>
          </w:tcPr>
          <w:p w14:paraId="02BE528D">
            <w:pPr>
              <w:ind w:firstLine="0" w:firstLineChars="0"/>
              <w:jc w:val="center"/>
            </w:pPr>
          </w:p>
        </w:tc>
        <w:tc>
          <w:tcPr>
            <w:tcW w:w="2146" w:type="dxa"/>
          </w:tcPr>
          <w:p w14:paraId="7B16967A">
            <w:pPr>
              <w:ind w:firstLine="0" w:firstLineChars="0"/>
              <w:jc w:val="center"/>
            </w:pPr>
          </w:p>
        </w:tc>
      </w:tr>
      <w:tr w14:paraId="0F63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91" w:type="dxa"/>
          </w:tcPr>
          <w:p w14:paraId="4ADEFF12">
            <w:pPr>
              <w:ind w:firstLine="0" w:firstLineChars="0"/>
              <w:jc w:val="center"/>
            </w:pPr>
          </w:p>
        </w:tc>
        <w:tc>
          <w:tcPr>
            <w:tcW w:w="1223" w:type="dxa"/>
          </w:tcPr>
          <w:p w14:paraId="598C4570">
            <w:pPr>
              <w:ind w:firstLine="0" w:firstLineChars="0"/>
              <w:jc w:val="center"/>
            </w:pPr>
          </w:p>
        </w:tc>
        <w:tc>
          <w:tcPr>
            <w:tcW w:w="1639" w:type="dxa"/>
          </w:tcPr>
          <w:p w14:paraId="121DDE97">
            <w:pPr>
              <w:ind w:firstLine="0" w:firstLineChars="0"/>
              <w:jc w:val="center"/>
            </w:pPr>
          </w:p>
        </w:tc>
        <w:tc>
          <w:tcPr>
            <w:tcW w:w="1223" w:type="dxa"/>
          </w:tcPr>
          <w:p w14:paraId="3D771BC6">
            <w:pPr>
              <w:ind w:firstLine="0" w:firstLineChars="0"/>
              <w:jc w:val="center"/>
            </w:pPr>
          </w:p>
        </w:tc>
        <w:tc>
          <w:tcPr>
            <w:tcW w:w="2146" w:type="dxa"/>
          </w:tcPr>
          <w:p w14:paraId="02CBDC18">
            <w:pPr>
              <w:ind w:firstLine="0" w:firstLineChars="0"/>
              <w:jc w:val="center"/>
            </w:pPr>
          </w:p>
        </w:tc>
      </w:tr>
      <w:tr w14:paraId="4753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91" w:type="dxa"/>
          </w:tcPr>
          <w:p w14:paraId="439D38C2">
            <w:pPr>
              <w:ind w:firstLine="0" w:firstLineChars="0"/>
              <w:jc w:val="center"/>
            </w:pPr>
          </w:p>
        </w:tc>
        <w:tc>
          <w:tcPr>
            <w:tcW w:w="1223" w:type="dxa"/>
          </w:tcPr>
          <w:p w14:paraId="0CF14AE1">
            <w:pPr>
              <w:ind w:firstLine="0" w:firstLineChars="0"/>
              <w:jc w:val="center"/>
            </w:pPr>
          </w:p>
        </w:tc>
        <w:tc>
          <w:tcPr>
            <w:tcW w:w="1639" w:type="dxa"/>
          </w:tcPr>
          <w:p w14:paraId="55ADD379">
            <w:pPr>
              <w:ind w:firstLine="0" w:firstLineChars="0"/>
              <w:jc w:val="center"/>
            </w:pPr>
          </w:p>
        </w:tc>
        <w:tc>
          <w:tcPr>
            <w:tcW w:w="1223" w:type="dxa"/>
          </w:tcPr>
          <w:p w14:paraId="05DDE153">
            <w:pPr>
              <w:ind w:firstLine="0" w:firstLineChars="0"/>
              <w:jc w:val="center"/>
            </w:pPr>
          </w:p>
        </w:tc>
        <w:tc>
          <w:tcPr>
            <w:tcW w:w="2146" w:type="dxa"/>
          </w:tcPr>
          <w:p w14:paraId="1CCE07D9">
            <w:pPr>
              <w:ind w:firstLine="0" w:firstLineChars="0"/>
              <w:jc w:val="center"/>
            </w:pPr>
          </w:p>
        </w:tc>
      </w:tr>
      <w:tr w14:paraId="5560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91" w:type="dxa"/>
          </w:tcPr>
          <w:p w14:paraId="0E24500A">
            <w:pPr>
              <w:ind w:firstLine="0" w:firstLineChars="0"/>
              <w:jc w:val="center"/>
            </w:pPr>
          </w:p>
        </w:tc>
        <w:tc>
          <w:tcPr>
            <w:tcW w:w="1223" w:type="dxa"/>
          </w:tcPr>
          <w:p w14:paraId="2137D084">
            <w:pPr>
              <w:ind w:firstLine="0" w:firstLineChars="0"/>
              <w:jc w:val="center"/>
            </w:pPr>
          </w:p>
        </w:tc>
        <w:tc>
          <w:tcPr>
            <w:tcW w:w="1639" w:type="dxa"/>
          </w:tcPr>
          <w:p w14:paraId="14B4684D">
            <w:pPr>
              <w:ind w:firstLine="0" w:firstLineChars="0"/>
              <w:jc w:val="center"/>
            </w:pPr>
          </w:p>
        </w:tc>
        <w:tc>
          <w:tcPr>
            <w:tcW w:w="1223" w:type="dxa"/>
          </w:tcPr>
          <w:p w14:paraId="62CC57BE">
            <w:pPr>
              <w:ind w:firstLine="0" w:firstLineChars="0"/>
              <w:jc w:val="center"/>
            </w:pPr>
          </w:p>
        </w:tc>
        <w:tc>
          <w:tcPr>
            <w:tcW w:w="2146" w:type="dxa"/>
          </w:tcPr>
          <w:p w14:paraId="60038B72">
            <w:pPr>
              <w:ind w:firstLine="0" w:firstLineChars="0"/>
              <w:jc w:val="center"/>
            </w:pPr>
          </w:p>
        </w:tc>
      </w:tr>
      <w:tr w14:paraId="026B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91" w:type="dxa"/>
          </w:tcPr>
          <w:p w14:paraId="36DA6CF7">
            <w:pPr>
              <w:ind w:firstLine="0" w:firstLineChars="0"/>
              <w:jc w:val="center"/>
            </w:pPr>
          </w:p>
        </w:tc>
        <w:tc>
          <w:tcPr>
            <w:tcW w:w="1223" w:type="dxa"/>
          </w:tcPr>
          <w:p w14:paraId="583B4EB2">
            <w:pPr>
              <w:ind w:firstLine="0" w:firstLineChars="0"/>
              <w:jc w:val="center"/>
            </w:pPr>
          </w:p>
        </w:tc>
        <w:tc>
          <w:tcPr>
            <w:tcW w:w="1639" w:type="dxa"/>
          </w:tcPr>
          <w:p w14:paraId="54FECA60">
            <w:pPr>
              <w:ind w:firstLine="0" w:firstLineChars="0"/>
              <w:jc w:val="center"/>
            </w:pPr>
          </w:p>
        </w:tc>
        <w:tc>
          <w:tcPr>
            <w:tcW w:w="1223" w:type="dxa"/>
          </w:tcPr>
          <w:p w14:paraId="454037E9">
            <w:pPr>
              <w:ind w:firstLine="0" w:firstLineChars="0"/>
              <w:jc w:val="center"/>
            </w:pPr>
          </w:p>
        </w:tc>
        <w:tc>
          <w:tcPr>
            <w:tcW w:w="2146" w:type="dxa"/>
          </w:tcPr>
          <w:p w14:paraId="189F3828">
            <w:pPr>
              <w:ind w:firstLine="0" w:firstLineChars="0"/>
              <w:jc w:val="center"/>
            </w:pPr>
          </w:p>
        </w:tc>
      </w:tr>
    </w:tbl>
    <w:p w14:paraId="7B0EF834">
      <w:pPr>
        <w:ind w:firstLine="422"/>
        <w:rPr>
          <w:b/>
          <w:bCs/>
        </w:rPr>
      </w:pPr>
      <w:r>
        <w:rPr>
          <w:b/>
          <w:bCs/>
        </w:rPr>
        <w:t>注：</w:t>
      </w:r>
      <w:r>
        <w:rPr>
          <w:rFonts w:hint="eastAsia"/>
          <w:b/>
          <w:bCs/>
        </w:rPr>
        <w:t>按评分标准的业绩要求</w:t>
      </w:r>
      <w:r>
        <w:rPr>
          <w:b/>
          <w:bCs/>
        </w:rPr>
        <w:t>提供</w:t>
      </w:r>
      <w:r>
        <w:rPr>
          <w:rFonts w:hint="eastAsia"/>
          <w:b/>
          <w:bCs/>
        </w:rPr>
        <w:t>证明材料</w:t>
      </w:r>
      <w:r>
        <w:rPr>
          <w:b/>
          <w:bCs/>
        </w:rPr>
        <w:t>。</w:t>
      </w:r>
    </w:p>
    <w:p w14:paraId="44B48145">
      <w:pPr>
        <w:ind w:firstLine="422"/>
        <w:rPr>
          <w:b/>
          <w:bCs/>
          <w:lang w:val="zh-CN"/>
        </w:rPr>
      </w:pPr>
    </w:p>
    <w:p w14:paraId="119C98FE">
      <w:pPr>
        <w:ind w:firstLine="422"/>
        <w:rPr>
          <w:b/>
          <w:bCs/>
          <w:lang w:val="zh-CN"/>
        </w:rPr>
      </w:pPr>
    </w:p>
    <w:p w14:paraId="38F2C5F9">
      <w:pPr>
        <w:spacing w:before="156" w:beforeLines="50"/>
        <w:ind w:firstLine="420"/>
      </w:pPr>
      <w:r>
        <w:t>法定代表人或授权代表（签章）：</w:t>
      </w:r>
    </w:p>
    <w:p w14:paraId="5B4E3BC1">
      <w:pPr>
        <w:spacing w:before="156" w:beforeLines="50"/>
        <w:ind w:firstLine="420"/>
      </w:pPr>
      <w:r>
        <w:t>投标人名称（盖章）：</w:t>
      </w:r>
    </w:p>
    <w:p w14:paraId="2D45E218">
      <w:pPr>
        <w:spacing w:before="156" w:beforeLines="50"/>
        <w:ind w:firstLine="420"/>
        <w:jc w:val="right"/>
      </w:pPr>
      <w:r>
        <w:t>日期：  年   月   日</w:t>
      </w:r>
    </w:p>
    <w:p w14:paraId="148A56DB">
      <w:pPr>
        <w:ind w:firstLine="420"/>
        <w:rPr>
          <w:lang w:val="zh-CN"/>
        </w:rPr>
      </w:pPr>
    </w:p>
    <w:p w14:paraId="167F13F9">
      <w:pPr>
        <w:keepNext/>
        <w:keepLines/>
        <w:numPr>
          <w:ilvl w:val="0"/>
          <w:numId w:val="11"/>
        </w:numPr>
        <w:ind w:firstLine="422"/>
        <w:outlineLvl w:val="2"/>
        <w:rPr>
          <w:b/>
          <w:kern w:val="0"/>
        </w:rPr>
      </w:pPr>
      <w:r>
        <w:rPr>
          <w:b/>
          <w:kern w:val="0"/>
          <w:lang w:val="zh-CN"/>
        </w:rPr>
        <w:br w:type="page"/>
      </w:r>
      <w:r>
        <w:rPr>
          <w:b/>
          <w:kern w:val="0"/>
        </w:rPr>
        <w:t>投标人基本情况表</w:t>
      </w:r>
    </w:p>
    <w:p w14:paraId="36FD4AAB">
      <w:pPr>
        <w:ind w:firstLine="422"/>
        <w:jc w:val="center"/>
        <w:rPr>
          <w:b/>
          <w:bCs/>
          <w:szCs w:val="21"/>
        </w:rPr>
      </w:pPr>
      <w:r>
        <w:rPr>
          <w:b/>
          <w:bCs/>
          <w:szCs w:val="21"/>
        </w:rPr>
        <w:t>投标人基本情况表</w:t>
      </w:r>
    </w:p>
    <w:tbl>
      <w:tblPr>
        <w:tblStyle w:val="44"/>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283"/>
        <w:gridCol w:w="1195"/>
        <w:gridCol w:w="1169"/>
        <w:gridCol w:w="1231"/>
        <w:gridCol w:w="371"/>
        <w:gridCol w:w="352"/>
        <w:gridCol w:w="285"/>
        <w:gridCol w:w="1416"/>
      </w:tblGrid>
      <w:tr w14:paraId="0E2D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6AB50954">
            <w:pPr>
              <w:ind w:firstLine="0" w:firstLineChars="0"/>
              <w:jc w:val="center"/>
              <w:rPr>
                <w:szCs w:val="21"/>
              </w:rPr>
            </w:pPr>
            <w:r>
              <w:rPr>
                <w:szCs w:val="21"/>
              </w:rPr>
              <w:t>投标人名称</w:t>
            </w:r>
          </w:p>
        </w:tc>
        <w:tc>
          <w:tcPr>
            <w:tcW w:w="7302" w:type="dxa"/>
            <w:gridSpan w:val="8"/>
            <w:vAlign w:val="center"/>
          </w:tcPr>
          <w:p w14:paraId="771991EA">
            <w:pPr>
              <w:ind w:firstLine="0" w:firstLineChars="0"/>
              <w:jc w:val="center"/>
              <w:rPr>
                <w:szCs w:val="21"/>
              </w:rPr>
            </w:pPr>
          </w:p>
        </w:tc>
      </w:tr>
      <w:tr w14:paraId="496B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7F84F495">
            <w:pPr>
              <w:ind w:firstLine="0" w:firstLineChars="0"/>
              <w:jc w:val="center"/>
              <w:rPr>
                <w:szCs w:val="21"/>
              </w:rPr>
            </w:pPr>
            <w:r>
              <w:rPr>
                <w:szCs w:val="21"/>
              </w:rPr>
              <w:t>注册地址</w:t>
            </w:r>
          </w:p>
        </w:tc>
        <w:tc>
          <w:tcPr>
            <w:tcW w:w="3647" w:type="dxa"/>
            <w:gridSpan w:val="3"/>
            <w:vAlign w:val="center"/>
          </w:tcPr>
          <w:p w14:paraId="1C9787BA">
            <w:pPr>
              <w:ind w:firstLine="0" w:firstLineChars="0"/>
              <w:jc w:val="center"/>
              <w:rPr>
                <w:szCs w:val="21"/>
              </w:rPr>
            </w:pPr>
          </w:p>
        </w:tc>
        <w:tc>
          <w:tcPr>
            <w:tcW w:w="1602" w:type="dxa"/>
            <w:gridSpan w:val="2"/>
            <w:vAlign w:val="center"/>
          </w:tcPr>
          <w:p w14:paraId="3B61BD18">
            <w:pPr>
              <w:ind w:firstLine="0" w:firstLineChars="0"/>
              <w:jc w:val="center"/>
              <w:rPr>
                <w:szCs w:val="21"/>
              </w:rPr>
            </w:pPr>
            <w:r>
              <w:rPr>
                <w:szCs w:val="21"/>
              </w:rPr>
              <w:t>邮政编码</w:t>
            </w:r>
          </w:p>
        </w:tc>
        <w:tc>
          <w:tcPr>
            <w:tcW w:w="2053" w:type="dxa"/>
            <w:gridSpan w:val="3"/>
            <w:vAlign w:val="center"/>
          </w:tcPr>
          <w:p w14:paraId="6F280D48">
            <w:pPr>
              <w:ind w:firstLine="0" w:firstLineChars="0"/>
              <w:jc w:val="center"/>
              <w:rPr>
                <w:szCs w:val="21"/>
              </w:rPr>
            </w:pPr>
          </w:p>
        </w:tc>
      </w:tr>
      <w:tr w14:paraId="3AE9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79E17F54">
            <w:pPr>
              <w:ind w:firstLine="0" w:firstLineChars="0"/>
              <w:jc w:val="center"/>
              <w:rPr>
                <w:szCs w:val="21"/>
              </w:rPr>
            </w:pPr>
            <w:r>
              <w:rPr>
                <w:szCs w:val="21"/>
              </w:rPr>
              <w:t>联系方式</w:t>
            </w:r>
          </w:p>
        </w:tc>
        <w:tc>
          <w:tcPr>
            <w:tcW w:w="1283" w:type="dxa"/>
            <w:vAlign w:val="center"/>
          </w:tcPr>
          <w:p w14:paraId="70EF90D9">
            <w:pPr>
              <w:ind w:firstLine="0" w:firstLineChars="0"/>
              <w:jc w:val="center"/>
              <w:rPr>
                <w:szCs w:val="21"/>
              </w:rPr>
            </w:pPr>
            <w:r>
              <w:rPr>
                <w:szCs w:val="21"/>
              </w:rPr>
              <w:t>联系人</w:t>
            </w:r>
          </w:p>
        </w:tc>
        <w:tc>
          <w:tcPr>
            <w:tcW w:w="2364" w:type="dxa"/>
            <w:gridSpan w:val="2"/>
            <w:vAlign w:val="center"/>
          </w:tcPr>
          <w:p w14:paraId="39E5EE9E">
            <w:pPr>
              <w:ind w:firstLine="0" w:firstLineChars="0"/>
              <w:jc w:val="center"/>
              <w:rPr>
                <w:szCs w:val="21"/>
              </w:rPr>
            </w:pPr>
          </w:p>
        </w:tc>
        <w:tc>
          <w:tcPr>
            <w:tcW w:w="1602" w:type="dxa"/>
            <w:gridSpan w:val="2"/>
            <w:vAlign w:val="center"/>
          </w:tcPr>
          <w:p w14:paraId="2210B959">
            <w:pPr>
              <w:ind w:firstLine="0" w:firstLineChars="0"/>
              <w:jc w:val="center"/>
              <w:rPr>
                <w:szCs w:val="21"/>
              </w:rPr>
            </w:pPr>
            <w:r>
              <w:rPr>
                <w:szCs w:val="21"/>
              </w:rPr>
              <w:t>电话</w:t>
            </w:r>
          </w:p>
        </w:tc>
        <w:tc>
          <w:tcPr>
            <w:tcW w:w="2053" w:type="dxa"/>
            <w:gridSpan w:val="3"/>
            <w:vAlign w:val="center"/>
          </w:tcPr>
          <w:p w14:paraId="1551C4AD">
            <w:pPr>
              <w:ind w:firstLine="0" w:firstLineChars="0"/>
              <w:jc w:val="center"/>
              <w:rPr>
                <w:szCs w:val="21"/>
              </w:rPr>
            </w:pPr>
          </w:p>
        </w:tc>
      </w:tr>
      <w:tr w14:paraId="4B01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1B29A266">
            <w:pPr>
              <w:ind w:firstLine="0" w:firstLineChars="0"/>
              <w:jc w:val="center"/>
              <w:rPr>
                <w:szCs w:val="21"/>
              </w:rPr>
            </w:pPr>
          </w:p>
        </w:tc>
        <w:tc>
          <w:tcPr>
            <w:tcW w:w="1283" w:type="dxa"/>
            <w:vAlign w:val="center"/>
          </w:tcPr>
          <w:p w14:paraId="0D0E7F38">
            <w:pPr>
              <w:ind w:firstLine="0" w:firstLineChars="0"/>
              <w:jc w:val="center"/>
              <w:rPr>
                <w:szCs w:val="21"/>
              </w:rPr>
            </w:pPr>
            <w:r>
              <w:rPr>
                <w:szCs w:val="21"/>
              </w:rPr>
              <w:t>传真</w:t>
            </w:r>
          </w:p>
        </w:tc>
        <w:tc>
          <w:tcPr>
            <w:tcW w:w="2364" w:type="dxa"/>
            <w:gridSpan w:val="2"/>
            <w:vAlign w:val="center"/>
          </w:tcPr>
          <w:p w14:paraId="6AFB7CF0">
            <w:pPr>
              <w:ind w:firstLine="0" w:firstLineChars="0"/>
              <w:jc w:val="center"/>
              <w:rPr>
                <w:szCs w:val="21"/>
              </w:rPr>
            </w:pPr>
          </w:p>
        </w:tc>
        <w:tc>
          <w:tcPr>
            <w:tcW w:w="1602" w:type="dxa"/>
            <w:gridSpan w:val="2"/>
            <w:vAlign w:val="center"/>
          </w:tcPr>
          <w:p w14:paraId="52A8FA1C">
            <w:pPr>
              <w:ind w:firstLine="0" w:firstLineChars="0"/>
              <w:jc w:val="center"/>
              <w:rPr>
                <w:szCs w:val="21"/>
              </w:rPr>
            </w:pPr>
            <w:r>
              <w:rPr>
                <w:szCs w:val="21"/>
              </w:rPr>
              <w:t>邮箱</w:t>
            </w:r>
          </w:p>
        </w:tc>
        <w:tc>
          <w:tcPr>
            <w:tcW w:w="2053" w:type="dxa"/>
            <w:gridSpan w:val="3"/>
            <w:vAlign w:val="center"/>
          </w:tcPr>
          <w:p w14:paraId="28108A47">
            <w:pPr>
              <w:ind w:firstLine="0" w:firstLineChars="0"/>
              <w:jc w:val="center"/>
              <w:rPr>
                <w:szCs w:val="21"/>
              </w:rPr>
            </w:pPr>
          </w:p>
        </w:tc>
      </w:tr>
      <w:tr w14:paraId="228D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78CD1C4B">
            <w:pPr>
              <w:ind w:firstLine="0" w:firstLineChars="0"/>
              <w:jc w:val="center"/>
              <w:rPr>
                <w:szCs w:val="21"/>
              </w:rPr>
            </w:pPr>
            <w:r>
              <w:rPr>
                <w:szCs w:val="21"/>
              </w:rPr>
              <w:t>法定代表人</w:t>
            </w:r>
          </w:p>
        </w:tc>
        <w:tc>
          <w:tcPr>
            <w:tcW w:w="1283" w:type="dxa"/>
            <w:vAlign w:val="center"/>
          </w:tcPr>
          <w:p w14:paraId="3E358D01">
            <w:pPr>
              <w:ind w:firstLine="0" w:firstLineChars="0"/>
              <w:jc w:val="center"/>
              <w:rPr>
                <w:szCs w:val="21"/>
              </w:rPr>
            </w:pPr>
            <w:r>
              <w:rPr>
                <w:szCs w:val="21"/>
              </w:rPr>
              <w:t>姓名</w:t>
            </w:r>
          </w:p>
        </w:tc>
        <w:tc>
          <w:tcPr>
            <w:tcW w:w="1195" w:type="dxa"/>
            <w:vAlign w:val="center"/>
          </w:tcPr>
          <w:p w14:paraId="476C3102">
            <w:pPr>
              <w:ind w:firstLine="0" w:firstLineChars="0"/>
              <w:jc w:val="center"/>
              <w:rPr>
                <w:szCs w:val="21"/>
              </w:rPr>
            </w:pPr>
          </w:p>
        </w:tc>
        <w:tc>
          <w:tcPr>
            <w:tcW w:w="1169" w:type="dxa"/>
            <w:vAlign w:val="center"/>
          </w:tcPr>
          <w:p w14:paraId="0C65347B">
            <w:pPr>
              <w:ind w:firstLine="0" w:firstLineChars="0"/>
              <w:jc w:val="center"/>
              <w:rPr>
                <w:szCs w:val="21"/>
              </w:rPr>
            </w:pPr>
            <w:r>
              <w:rPr>
                <w:szCs w:val="21"/>
              </w:rPr>
              <w:t>技术职称</w:t>
            </w:r>
          </w:p>
        </w:tc>
        <w:tc>
          <w:tcPr>
            <w:tcW w:w="1231" w:type="dxa"/>
            <w:vAlign w:val="center"/>
          </w:tcPr>
          <w:p w14:paraId="2DF718A1">
            <w:pPr>
              <w:ind w:firstLine="0" w:firstLineChars="0"/>
              <w:jc w:val="center"/>
              <w:rPr>
                <w:szCs w:val="21"/>
              </w:rPr>
            </w:pPr>
          </w:p>
        </w:tc>
        <w:tc>
          <w:tcPr>
            <w:tcW w:w="1008" w:type="dxa"/>
            <w:gridSpan w:val="3"/>
            <w:vAlign w:val="center"/>
          </w:tcPr>
          <w:p w14:paraId="5D6D5319">
            <w:pPr>
              <w:ind w:firstLine="0" w:firstLineChars="0"/>
              <w:jc w:val="center"/>
              <w:rPr>
                <w:szCs w:val="21"/>
              </w:rPr>
            </w:pPr>
            <w:r>
              <w:rPr>
                <w:szCs w:val="21"/>
              </w:rPr>
              <w:t>电话</w:t>
            </w:r>
          </w:p>
        </w:tc>
        <w:tc>
          <w:tcPr>
            <w:tcW w:w="1416" w:type="dxa"/>
            <w:vAlign w:val="center"/>
          </w:tcPr>
          <w:p w14:paraId="2E36B6E6">
            <w:pPr>
              <w:ind w:firstLine="0" w:firstLineChars="0"/>
              <w:jc w:val="center"/>
              <w:rPr>
                <w:szCs w:val="21"/>
              </w:rPr>
            </w:pPr>
          </w:p>
        </w:tc>
      </w:tr>
      <w:tr w14:paraId="146D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3D5C26D7">
            <w:pPr>
              <w:ind w:firstLine="0" w:firstLineChars="0"/>
              <w:jc w:val="center"/>
              <w:rPr>
                <w:szCs w:val="21"/>
              </w:rPr>
            </w:pPr>
            <w:r>
              <w:rPr>
                <w:szCs w:val="21"/>
              </w:rPr>
              <w:t>成立时间</w:t>
            </w:r>
          </w:p>
        </w:tc>
        <w:tc>
          <w:tcPr>
            <w:tcW w:w="2478" w:type="dxa"/>
            <w:gridSpan w:val="2"/>
            <w:vAlign w:val="center"/>
          </w:tcPr>
          <w:p w14:paraId="55494A1C">
            <w:pPr>
              <w:ind w:firstLine="0" w:firstLineChars="0"/>
              <w:jc w:val="center"/>
              <w:rPr>
                <w:szCs w:val="21"/>
              </w:rPr>
            </w:pPr>
          </w:p>
        </w:tc>
        <w:tc>
          <w:tcPr>
            <w:tcW w:w="4824" w:type="dxa"/>
            <w:gridSpan w:val="6"/>
            <w:vAlign w:val="center"/>
          </w:tcPr>
          <w:p w14:paraId="5572D03D">
            <w:pPr>
              <w:ind w:firstLine="0" w:firstLineChars="0"/>
              <w:jc w:val="center"/>
              <w:rPr>
                <w:szCs w:val="21"/>
              </w:rPr>
            </w:pPr>
            <w:r>
              <w:rPr>
                <w:szCs w:val="21"/>
              </w:rPr>
              <w:t>员工总人数：</w:t>
            </w:r>
          </w:p>
        </w:tc>
      </w:tr>
      <w:tr w14:paraId="7D74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14:paraId="5485C490">
            <w:pPr>
              <w:ind w:firstLine="0" w:firstLineChars="0"/>
              <w:jc w:val="center"/>
              <w:rPr>
                <w:szCs w:val="21"/>
              </w:rPr>
            </w:pPr>
            <w:r>
              <w:rPr>
                <w:szCs w:val="21"/>
              </w:rPr>
              <w:t>营业执照号</w:t>
            </w:r>
          </w:p>
        </w:tc>
        <w:tc>
          <w:tcPr>
            <w:tcW w:w="2478" w:type="dxa"/>
            <w:gridSpan w:val="2"/>
            <w:vAlign w:val="center"/>
          </w:tcPr>
          <w:p w14:paraId="4106F5AE">
            <w:pPr>
              <w:ind w:firstLine="0" w:firstLineChars="0"/>
              <w:jc w:val="center"/>
              <w:rPr>
                <w:szCs w:val="21"/>
              </w:rPr>
            </w:pPr>
          </w:p>
        </w:tc>
        <w:tc>
          <w:tcPr>
            <w:tcW w:w="1169" w:type="dxa"/>
            <w:vMerge w:val="restart"/>
            <w:vAlign w:val="center"/>
          </w:tcPr>
          <w:p w14:paraId="61479308">
            <w:pPr>
              <w:ind w:firstLine="0" w:firstLineChars="0"/>
              <w:jc w:val="center"/>
              <w:rPr>
                <w:szCs w:val="21"/>
              </w:rPr>
            </w:pPr>
            <w:r>
              <w:rPr>
                <w:szCs w:val="21"/>
              </w:rPr>
              <w:t>其中</w:t>
            </w:r>
          </w:p>
        </w:tc>
        <w:tc>
          <w:tcPr>
            <w:tcW w:w="1954" w:type="dxa"/>
            <w:gridSpan w:val="3"/>
            <w:vAlign w:val="center"/>
          </w:tcPr>
          <w:p w14:paraId="502A3595">
            <w:pPr>
              <w:ind w:firstLine="0" w:firstLineChars="0"/>
              <w:jc w:val="center"/>
              <w:rPr>
                <w:szCs w:val="21"/>
              </w:rPr>
            </w:pPr>
            <w:r>
              <w:rPr>
                <w:szCs w:val="21"/>
              </w:rPr>
              <w:t>高级职称人员</w:t>
            </w:r>
          </w:p>
        </w:tc>
        <w:tc>
          <w:tcPr>
            <w:tcW w:w="1701" w:type="dxa"/>
            <w:gridSpan w:val="2"/>
            <w:vAlign w:val="center"/>
          </w:tcPr>
          <w:p w14:paraId="34AD6AC5">
            <w:pPr>
              <w:ind w:firstLine="0" w:firstLineChars="0"/>
              <w:jc w:val="center"/>
              <w:rPr>
                <w:szCs w:val="21"/>
              </w:rPr>
            </w:pPr>
          </w:p>
        </w:tc>
      </w:tr>
      <w:tr w14:paraId="24C2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14:paraId="254D1889">
            <w:pPr>
              <w:ind w:firstLine="0" w:firstLineChars="0"/>
              <w:jc w:val="center"/>
              <w:rPr>
                <w:szCs w:val="21"/>
              </w:rPr>
            </w:pPr>
            <w:r>
              <w:rPr>
                <w:szCs w:val="21"/>
              </w:rPr>
              <w:t>注册资金</w:t>
            </w:r>
          </w:p>
        </w:tc>
        <w:tc>
          <w:tcPr>
            <w:tcW w:w="2478" w:type="dxa"/>
            <w:gridSpan w:val="2"/>
            <w:vAlign w:val="center"/>
          </w:tcPr>
          <w:p w14:paraId="5AA7DB0B">
            <w:pPr>
              <w:ind w:firstLine="0" w:firstLineChars="0"/>
              <w:jc w:val="center"/>
              <w:rPr>
                <w:szCs w:val="21"/>
              </w:rPr>
            </w:pPr>
          </w:p>
        </w:tc>
        <w:tc>
          <w:tcPr>
            <w:tcW w:w="1169" w:type="dxa"/>
            <w:vMerge w:val="continue"/>
            <w:vAlign w:val="center"/>
          </w:tcPr>
          <w:p w14:paraId="2DA2D799">
            <w:pPr>
              <w:ind w:firstLine="0" w:firstLineChars="0"/>
              <w:jc w:val="center"/>
              <w:rPr>
                <w:szCs w:val="21"/>
              </w:rPr>
            </w:pPr>
          </w:p>
        </w:tc>
        <w:tc>
          <w:tcPr>
            <w:tcW w:w="1954" w:type="dxa"/>
            <w:gridSpan w:val="3"/>
            <w:vAlign w:val="center"/>
          </w:tcPr>
          <w:p w14:paraId="159D2F65">
            <w:pPr>
              <w:ind w:firstLine="0" w:firstLineChars="0"/>
              <w:jc w:val="center"/>
              <w:rPr>
                <w:szCs w:val="21"/>
              </w:rPr>
            </w:pPr>
            <w:r>
              <w:rPr>
                <w:szCs w:val="21"/>
              </w:rPr>
              <w:t>中级职称人员</w:t>
            </w:r>
          </w:p>
        </w:tc>
        <w:tc>
          <w:tcPr>
            <w:tcW w:w="1701" w:type="dxa"/>
            <w:gridSpan w:val="2"/>
            <w:vAlign w:val="center"/>
          </w:tcPr>
          <w:p w14:paraId="4DD17AD0">
            <w:pPr>
              <w:ind w:firstLine="0" w:firstLineChars="0"/>
              <w:jc w:val="center"/>
              <w:rPr>
                <w:szCs w:val="21"/>
              </w:rPr>
            </w:pPr>
          </w:p>
        </w:tc>
      </w:tr>
      <w:tr w14:paraId="5369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6BF1BE3C">
            <w:pPr>
              <w:ind w:firstLine="0" w:firstLineChars="0"/>
              <w:jc w:val="center"/>
              <w:rPr>
                <w:szCs w:val="21"/>
              </w:rPr>
            </w:pPr>
            <w:r>
              <w:rPr>
                <w:szCs w:val="21"/>
              </w:rPr>
              <w:t>开户银行</w:t>
            </w:r>
          </w:p>
        </w:tc>
        <w:tc>
          <w:tcPr>
            <w:tcW w:w="2478" w:type="dxa"/>
            <w:gridSpan w:val="2"/>
            <w:vAlign w:val="center"/>
          </w:tcPr>
          <w:p w14:paraId="3D2D7E4D">
            <w:pPr>
              <w:ind w:firstLine="0" w:firstLineChars="0"/>
              <w:jc w:val="center"/>
              <w:rPr>
                <w:szCs w:val="21"/>
              </w:rPr>
            </w:pPr>
          </w:p>
        </w:tc>
        <w:tc>
          <w:tcPr>
            <w:tcW w:w="1169" w:type="dxa"/>
            <w:vMerge w:val="continue"/>
            <w:vAlign w:val="center"/>
          </w:tcPr>
          <w:p w14:paraId="480C32B9">
            <w:pPr>
              <w:ind w:firstLine="0" w:firstLineChars="0"/>
              <w:jc w:val="center"/>
              <w:rPr>
                <w:szCs w:val="21"/>
              </w:rPr>
            </w:pPr>
          </w:p>
        </w:tc>
        <w:tc>
          <w:tcPr>
            <w:tcW w:w="1954" w:type="dxa"/>
            <w:gridSpan w:val="3"/>
            <w:vAlign w:val="center"/>
          </w:tcPr>
          <w:p w14:paraId="73002D6F">
            <w:pPr>
              <w:ind w:firstLine="0" w:firstLineChars="0"/>
              <w:jc w:val="center"/>
              <w:rPr>
                <w:szCs w:val="21"/>
              </w:rPr>
            </w:pPr>
            <w:r>
              <w:rPr>
                <w:szCs w:val="21"/>
              </w:rPr>
              <w:t>初级职称人员</w:t>
            </w:r>
          </w:p>
        </w:tc>
        <w:tc>
          <w:tcPr>
            <w:tcW w:w="1701" w:type="dxa"/>
            <w:gridSpan w:val="2"/>
            <w:vAlign w:val="center"/>
          </w:tcPr>
          <w:p w14:paraId="7A816317">
            <w:pPr>
              <w:ind w:firstLine="0" w:firstLineChars="0"/>
              <w:jc w:val="center"/>
              <w:rPr>
                <w:szCs w:val="21"/>
              </w:rPr>
            </w:pPr>
          </w:p>
        </w:tc>
      </w:tr>
      <w:tr w14:paraId="4059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14:paraId="6653CF34">
            <w:pPr>
              <w:ind w:firstLine="0" w:firstLineChars="0"/>
              <w:jc w:val="center"/>
              <w:rPr>
                <w:szCs w:val="21"/>
              </w:rPr>
            </w:pPr>
            <w:r>
              <w:rPr>
                <w:szCs w:val="21"/>
              </w:rPr>
              <w:t>账号</w:t>
            </w:r>
          </w:p>
        </w:tc>
        <w:tc>
          <w:tcPr>
            <w:tcW w:w="2478" w:type="dxa"/>
            <w:gridSpan w:val="2"/>
            <w:vAlign w:val="center"/>
          </w:tcPr>
          <w:p w14:paraId="0E6F1C21">
            <w:pPr>
              <w:ind w:firstLine="0" w:firstLineChars="0"/>
              <w:rPr>
                <w:szCs w:val="21"/>
              </w:rPr>
            </w:pPr>
          </w:p>
        </w:tc>
        <w:tc>
          <w:tcPr>
            <w:tcW w:w="1169" w:type="dxa"/>
            <w:vMerge w:val="continue"/>
            <w:vAlign w:val="center"/>
          </w:tcPr>
          <w:p w14:paraId="4D01E510">
            <w:pPr>
              <w:ind w:firstLine="0" w:firstLineChars="0"/>
              <w:jc w:val="center"/>
              <w:rPr>
                <w:szCs w:val="21"/>
              </w:rPr>
            </w:pPr>
          </w:p>
        </w:tc>
        <w:tc>
          <w:tcPr>
            <w:tcW w:w="1954" w:type="dxa"/>
            <w:gridSpan w:val="3"/>
            <w:vAlign w:val="center"/>
          </w:tcPr>
          <w:p w14:paraId="269345AE">
            <w:pPr>
              <w:ind w:firstLine="0" w:firstLineChars="0"/>
              <w:jc w:val="center"/>
              <w:rPr>
                <w:szCs w:val="21"/>
              </w:rPr>
            </w:pPr>
          </w:p>
        </w:tc>
        <w:tc>
          <w:tcPr>
            <w:tcW w:w="1701" w:type="dxa"/>
            <w:gridSpan w:val="2"/>
            <w:vAlign w:val="center"/>
          </w:tcPr>
          <w:p w14:paraId="61A6961B">
            <w:pPr>
              <w:ind w:firstLine="0" w:firstLineChars="0"/>
              <w:jc w:val="center"/>
              <w:rPr>
                <w:szCs w:val="21"/>
              </w:rPr>
            </w:pPr>
          </w:p>
        </w:tc>
      </w:tr>
      <w:tr w14:paraId="6D6B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71" w:type="dxa"/>
            <w:vAlign w:val="center"/>
          </w:tcPr>
          <w:p w14:paraId="3C0BF612">
            <w:pPr>
              <w:ind w:firstLine="0" w:firstLineChars="0"/>
              <w:jc w:val="center"/>
              <w:rPr>
                <w:szCs w:val="21"/>
              </w:rPr>
            </w:pPr>
            <w:r>
              <w:rPr>
                <w:szCs w:val="21"/>
              </w:rPr>
              <w:t>经营范围</w:t>
            </w:r>
          </w:p>
        </w:tc>
        <w:tc>
          <w:tcPr>
            <w:tcW w:w="7302" w:type="dxa"/>
            <w:gridSpan w:val="8"/>
            <w:vAlign w:val="center"/>
          </w:tcPr>
          <w:p w14:paraId="5BDD7796">
            <w:pPr>
              <w:ind w:firstLine="0" w:firstLineChars="0"/>
              <w:rPr>
                <w:szCs w:val="21"/>
              </w:rPr>
            </w:pPr>
          </w:p>
        </w:tc>
      </w:tr>
      <w:tr w14:paraId="145F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1771" w:type="dxa"/>
            <w:vAlign w:val="center"/>
          </w:tcPr>
          <w:p w14:paraId="3B9B34ED">
            <w:pPr>
              <w:ind w:firstLine="0" w:firstLineChars="0"/>
              <w:jc w:val="center"/>
              <w:rPr>
                <w:szCs w:val="21"/>
              </w:rPr>
            </w:pPr>
            <w:r>
              <w:rPr>
                <w:szCs w:val="21"/>
              </w:rPr>
              <w:t>财务状况</w:t>
            </w:r>
          </w:p>
        </w:tc>
        <w:tc>
          <w:tcPr>
            <w:tcW w:w="7302" w:type="dxa"/>
            <w:gridSpan w:val="8"/>
            <w:vAlign w:val="center"/>
          </w:tcPr>
          <w:p w14:paraId="7C77F0DF">
            <w:pPr>
              <w:ind w:left="-34" w:leftChars="-16" w:firstLine="0" w:firstLineChars="0"/>
              <w:rPr>
                <w:szCs w:val="21"/>
              </w:rPr>
            </w:pPr>
            <w:r>
              <w:rPr>
                <w:szCs w:val="21"/>
              </w:rPr>
              <w:t>1、202</w:t>
            </w:r>
            <w:r>
              <w:rPr>
                <w:rFonts w:hint="eastAsia"/>
                <w:szCs w:val="21"/>
              </w:rPr>
              <w:t>4</w:t>
            </w:r>
            <w:r>
              <w:rPr>
                <w:szCs w:val="21"/>
              </w:rPr>
              <w:t>年-202</w:t>
            </w:r>
            <w:r>
              <w:rPr>
                <w:rFonts w:hint="eastAsia"/>
                <w:szCs w:val="21"/>
              </w:rPr>
              <w:t>5</w:t>
            </w:r>
            <w:r>
              <w:rPr>
                <w:szCs w:val="21"/>
              </w:rPr>
              <w:t>年的资产负债情况：</w:t>
            </w:r>
          </w:p>
          <w:p w14:paraId="2D7BF181">
            <w:pPr>
              <w:ind w:left="-34" w:leftChars="-16" w:firstLine="0" w:firstLineChars="0"/>
              <w:rPr>
                <w:szCs w:val="21"/>
              </w:rPr>
            </w:pPr>
            <w:r>
              <w:rPr>
                <w:szCs w:val="21"/>
              </w:rPr>
              <w:t>（1）固定资产  _____________ _____________</w:t>
            </w:r>
          </w:p>
          <w:p w14:paraId="130F24B7">
            <w:pPr>
              <w:ind w:left="-34" w:leftChars="-16" w:firstLine="0" w:firstLineChars="0"/>
              <w:rPr>
                <w:szCs w:val="21"/>
              </w:rPr>
            </w:pPr>
            <w:r>
              <w:rPr>
                <w:szCs w:val="21"/>
              </w:rPr>
              <w:t xml:space="preserve">（2）流动资产  _____________ _____________  </w:t>
            </w:r>
          </w:p>
          <w:p w14:paraId="188E37F9">
            <w:pPr>
              <w:ind w:left="-34" w:leftChars="-16" w:firstLine="0" w:firstLineChars="0"/>
              <w:rPr>
                <w:szCs w:val="21"/>
              </w:rPr>
            </w:pPr>
            <w:r>
              <w:rPr>
                <w:szCs w:val="21"/>
              </w:rPr>
              <w:t>2、投标人202</w:t>
            </w:r>
            <w:r>
              <w:rPr>
                <w:rFonts w:hint="eastAsia"/>
                <w:szCs w:val="21"/>
              </w:rPr>
              <w:t>4</w:t>
            </w:r>
            <w:r>
              <w:rPr>
                <w:szCs w:val="21"/>
              </w:rPr>
              <w:t>年-202</w:t>
            </w:r>
            <w:r>
              <w:rPr>
                <w:rFonts w:hint="eastAsia"/>
                <w:szCs w:val="21"/>
              </w:rPr>
              <w:t>5</w:t>
            </w:r>
            <w:r>
              <w:rPr>
                <w:szCs w:val="21"/>
              </w:rPr>
              <w:t>年两年的经会计师事务所审计的年度财务报表，包括资产负债表，现金流量表及损益表。</w:t>
            </w:r>
          </w:p>
          <w:p w14:paraId="48E9DFF3">
            <w:pPr>
              <w:ind w:left="-34" w:leftChars="-16" w:firstLine="0" w:firstLineChars="0"/>
              <w:rPr>
                <w:szCs w:val="21"/>
              </w:rPr>
            </w:pPr>
            <w:r>
              <w:rPr>
                <w:szCs w:val="21"/>
              </w:rPr>
              <w:t>（1）营业收入  _____________ _____________</w:t>
            </w:r>
          </w:p>
          <w:p w14:paraId="573903C5">
            <w:pPr>
              <w:ind w:left="-34" w:leftChars="-16" w:firstLine="0" w:firstLineChars="0"/>
              <w:rPr>
                <w:szCs w:val="21"/>
              </w:rPr>
            </w:pPr>
            <w:r>
              <w:rPr>
                <w:szCs w:val="21"/>
              </w:rPr>
              <w:t>（2）营业利润  _____________ _____________</w:t>
            </w:r>
          </w:p>
          <w:p w14:paraId="560E29EA">
            <w:pPr>
              <w:ind w:left="-34" w:leftChars="-16" w:firstLine="0" w:firstLineChars="0"/>
              <w:rPr>
                <w:szCs w:val="21"/>
              </w:rPr>
            </w:pPr>
            <w:r>
              <w:rPr>
                <w:szCs w:val="21"/>
              </w:rPr>
              <w:t xml:space="preserve">（3）利润总额  _____________ _____________    </w:t>
            </w:r>
          </w:p>
          <w:p w14:paraId="64492ACE">
            <w:pPr>
              <w:ind w:left="-34" w:leftChars="-16" w:firstLine="0" w:firstLineChars="0"/>
              <w:rPr>
                <w:szCs w:val="21"/>
              </w:rPr>
            </w:pPr>
            <w:r>
              <w:rPr>
                <w:szCs w:val="21"/>
              </w:rPr>
              <w:t>（4）净利润    ___________ _____________</w:t>
            </w:r>
          </w:p>
        </w:tc>
      </w:tr>
      <w:tr w14:paraId="23C6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771" w:type="dxa"/>
            <w:vAlign w:val="center"/>
          </w:tcPr>
          <w:p w14:paraId="23595797">
            <w:pPr>
              <w:ind w:firstLine="0" w:firstLineChars="0"/>
              <w:jc w:val="center"/>
              <w:rPr>
                <w:szCs w:val="21"/>
              </w:rPr>
            </w:pPr>
            <w:r>
              <w:rPr>
                <w:lang w:eastAsia="zh-Hans"/>
              </w:rPr>
              <w:t>简介</w:t>
            </w:r>
          </w:p>
        </w:tc>
        <w:tc>
          <w:tcPr>
            <w:tcW w:w="7302" w:type="dxa"/>
            <w:gridSpan w:val="8"/>
            <w:vAlign w:val="center"/>
          </w:tcPr>
          <w:p w14:paraId="4D65BA4D">
            <w:pPr>
              <w:ind w:firstLine="0" w:firstLineChars="0"/>
              <w:jc w:val="left"/>
              <w:rPr>
                <w:b/>
                <w:szCs w:val="21"/>
              </w:rPr>
            </w:pPr>
          </w:p>
        </w:tc>
      </w:tr>
    </w:tbl>
    <w:p w14:paraId="5E34D51B">
      <w:pPr>
        <w:ind w:firstLine="420"/>
        <w:rPr>
          <w:b/>
          <w:bCs/>
          <w:lang w:val="zh-CN"/>
        </w:rPr>
      </w:pPr>
      <w:r>
        <w:rPr>
          <w:rFonts w:hint="eastAsia"/>
        </w:rPr>
        <w:br w:type="page"/>
      </w:r>
      <w:r>
        <w:rPr>
          <w:rFonts w:hint="eastAsia"/>
        </w:rPr>
        <w:t>5</w:t>
      </w:r>
      <w:r>
        <w:rPr>
          <w:rFonts w:hint="eastAsia"/>
          <w:b/>
          <w:bCs/>
        </w:rPr>
        <w:t>.</w:t>
      </w:r>
      <w:r>
        <w:rPr>
          <w:b/>
          <w:bCs/>
          <w:lang w:val="zh-CN"/>
        </w:rPr>
        <w:t>商务技术标评审所涉及的其他资料（</w:t>
      </w:r>
      <w:r>
        <w:rPr>
          <w:rFonts w:hint="eastAsia"/>
          <w:b/>
          <w:bCs/>
        </w:rPr>
        <w:t>若有，</w:t>
      </w:r>
      <w:r>
        <w:rPr>
          <w:b/>
          <w:bCs/>
          <w:lang w:val="zh-CN"/>
        </w:rPr>
        <w:t>格式自拟）；</w:t>
      </w:r>
    </w:p>
    <w:p w14:paraId="3909A13D">
      <w:pPr>
        <w:ind w:firstLine="420"/>
      </w:pPr>
      <w:r>
        <w:rPr>
          <w:rFonts w:hint="eastAsia"/>
        </w:rPr>
        <w:t>5.1供应商实力；</w:t>
      </w:r>
    </w:p>
    <w:p w14:paraId="6601F53F">
      <w:pPr>
        <w:ind w:firstLine="420"/>
      </w:pPr>
      <w:r>
        <w:rPr>
          <w:rFonts w:hint="eastAsia"/>
        </w:rPr>
        <w:t>5.2技术服务方案；</w:t>
      </w:r>
    </w:p>
    <w:p w14:paraId="1330B461">
      <w:pPr>
        <w:ind w:firstLine="420"/>
        <w:rPr>
          <w:rFonts w:ascii="宋体" w:hAnsi="宋体" w:cs="宋体"/>
          <w:szCs w:val="21"/>
        </w:rPr>
      </w:pPr>
      <w:r>
        <w:rPr>
          <w:rFonts w:hint="eastAsia"/>
        </w:rPr>
        <w:t>5.3售后服务保证</w:t>
      </w:r>
      <w:r>
        <w:rPr>
          <w:rFonts w:hint="eastAsia" w:ascii="宋体" w:hAnsi="宋体" w:cs="宋体"/>
          <w:szCs w:val="21"/>
        </w:rPr>
        <w:t>；</w:t>
      </w:r>
    </w:p>
    <w:p w14:paraId="3A2D8E9F">
      <w:pPr>
        <w:spacing w:line="360" w:lineRule="auto"/>
        <w:ind w:firstLine="420" w:firstLineChars="200"/>
        <w:rPr>
          <w:rFonts w:hint="eastAsia" w:ascii="宋体" w:hAnsi="宋体" w:cs="宋体"/>
          <w:b w:val="0"/>
          <w:bCs w:val="0"/>
          <w:color w:val="auto"/>
          <w:szCs w:val="21"/>
          <w:highlight w:val="none"/>
          <w:lang w:eastAsia="zh-CN"/>
        </w:rPr>
      </w:pPr>
      <w:r>
        <w:rPr>
          <w:rFonts w:hint="eastAsia"/>
          <w:highlight w:val="none"/>
        </w:rPr>
        <w:t>5.</w:t>
      </w:r>
      <w:r>
        <w:rPr>
          <w:rFonts w:hint="eastAsia"/>
          <w:highlight w:val="none"/>
          <w:lang w:val="en-US" w:eastAsia="zh-CN"/>
        </w:rPr>
        <w:t>4</w:t>
      </w:r>
      <w:r>
        <w:rPr>
          <w:rFonts w:hint="eastAsia" w:ascii="Times New Roman" w:hAnsi="Times New Roman" w:eastAsia="宋体" w:cs="Times New Roman"/>
          <w:b w:val="0"/>
          <w:bCs w:val="0"/>
          <w:color w:val="auto"/>
          <w:highlight w:val="none"/>
          <w:lang w:val="en-US" w:eastAsia="zh-CN"/>
        </w:rPr>
        <w:t>技术参数符合性（若有，</w:t>
      </w:r>
      <w:r>
        <w:rPr>
          <w:rFonts w:hint="eastAsia" w:ascii="宋体" w:hAnsi="宋体" w:cs="宋体"/>
          <w:b w:val="0"/>
          <w:bCs w:val="0"/>
          <w:color w:val="auto"/>
          <w:szCs w:val="21"/>
          <w:highlight w:val="none"/>
          <w:lang w:val="en-US" w:eastAsia="zh-CN"/>
        </w:rPr>
        <w:t>根据</w:t>
      </w:r>
      <w:r>
        <w:rPr>
          <w:rFonts w:hint="eastAsia" w:ascii="宋体" w:hAnsi="宋体" w:cs="宋体"/>
          <w:b w:val="0"/>
          <w:bCs w:val="0"/>
          <w:color w:val="auto"/>
          <w:szCs w:val="21"/>
          <w:highlight w:val="none"/>
        </w:rPr>
        <w:t>招标文件</w:t>
      </w:r>
      <w:r>
        <w:rPr>
          <w:rFonts w:hint="eastAsia" w:ascii="宋体" w:hAnsi="宋体" w:cs="宋体"/>
          <w:b w:val="0"/>
          <w:bCs w:val="0"/>
          <w:color w:val="auto"/>
          <w:szCs w:val="21"/>
          <w:highlight w:val="none"/>
          <w:lang w:val="en-US" w:eastAsia="zh-CN"/>
        </w:rPr>
        <w:t>技术规格书</w:t>
      </w:r>
      <w:r>
        <w:rPr>
          <w:rFonts w:hint="eastAsia" w:ascii="宋体" w:hAnsi="宋体" w:cs="宋体"/>
          <w:b w:val="0"/>
          <w:bCs w:val="0"/>
          <w:color w:val="auto"/>
          <w:szCs w:val="21"/>
          <w:highlight w:val="none"/>
        </w:rPr>
        <w:t>，提供相关技术资料证明文件</w:t>
      </w:r>
      <w:r>
        <w:rPr>
          <w:rFonts w:hint="eastAsia" w:ascii="Times New Roman" w:hAnsi="Times New Roman" w:eastAsia="宋体" w:cs="Times New Roman"/>
          <w:b w:val="0"/>
          <w:bCs w:val="0"/>
          <w:color w:val="auto"/>
          <w:highlight w:val="none"/>
          <w:lang w:val="en-US" w:eastAsia="zh-CN"/>
        </w:rPr>
        <w:t>）</w:t>
      </w:r>
      <w:r>
        <w:rPr>
          <w:rFonts w:hint="eastAsia" w:ascii="宋体" w:hAnsi="宋体" w:cs="宋体"/>
          <w:b w:val="0"/>
          <w:bCs w:val="0"/>
          <w:color w:val="auto"/>
          <w:szCs w:val="21"/>
          <w:highlight w:val="none"/>
          <w:lang w:eastAsia="zh-CN"/>
        </w:rPr>
        <w:t>；</w:t>
      </w:r>
    </w:p>
    <w:p w14:paraId="285AFD23">
      <w:pPr>
        <w:ind w:firstLine="422"/>
        <w:rPr>
          <w:b/>
          <w:bCs/>
        </w:rPr>
      </w:pPr>
    </w:p>
    <w:p w14:paraId="0B8BBF6E">
      <w:pPr>
        <w:pStyle w:val="2"/>
      </w:pPr>
    </w:p>
    <w:p w14:paraId="6BAB4F5A">
      <w:pPr>
        <w:ind w:firstLine="422"/>
        <w:rPr>
          <w:b/>
          <w:bCs/>
          <w:lang w:val="zh-CN"/>
        </w:rPr>
      </w:pPr>
      <w:r>
        <w:rPr>
          <w:rFonts w:hint="eastAsia"/>
          <w:b/>
          <w:bCs/>
        </w:rPr>
        <w:t>6.</w:t>
      </w:r>
      <w:r>
        <w:rPr>
          <w:b/>
          <w:bCs/>
          <w:lang w:val="zh-CN"/>
        </w:rPr>
        <w:t>投标人需要特别说明的其他文件（</w:t>
      </w:r>
      <w:r>
        <w:rPr>
          <w:rFonts w:hint="eastAsia"/>
          <w:b/>
          <w:bCs/>
        </w:rPr>
        <w:t>若有，</w:t>
      </w:r>
      <w:r>
        <w:rPr>
          <w:b/>
          <w:bCs/>
          <w:lang w:val="zh-CN"/>
        </w:rPr>
        <w:t>格式自拟）。</w:t>
      </w:r>
    </w:p>
    <w:p w14:paraId="09694E54">
      <w:pPr>
        <w:pStyle w:val="43"/>
      </w:pPr>
    </w:p>
    <w:p w14:paraId="65EA39E9">
      <w:pPr>
        <w:pStyle w:val="5"/>
        <w:ind w:firstLine="422"/>
      </w:pPr>
      <w:r>
        <w:br w:type="page"/>
      </w:r>
      <w:r>
        <w:rPr>
          <w:bCs/>
        </w:rPr>
        <w:t>第</w:t>
      </w:r>
      <w:r>
        <w:rPr>
          <w:rFonts w:hint="eastAsia"/>
          <w:bCs/>
        </w:rPr>
        <w:t>三</w:t>
      </w:r>
      <w:r>
        <w:rPr>
          <w:bCs/>
        </w:rPr>
        <w:t>部分：价格标</w:t>
      </w:r>
    </w:p>
    <w:p w14:paraId="5B36FEB5">
      <w:pPr>
        <w:pStyle w:val="5"/>
        <w:ind w:firstLine="422"/>
      </w:pPr>
      <w:r>
        <w:t>1. 投标函</w:t>
      </w:r>
    </w:p>
    <w:p w14:paraId="39557D4E">
      <w:pPr>
        <w:snapToGrid w:val="0"/>
        <w:spacing w:before="156" w:beforeLines="50" w:after="50" w:line="400" w:lineRule="exact"/>
        <w:ind w:firstLine="422"/>
        <w:jc w:val="center"/>
        <w:rPr>
          <w:b/>
          <w:szCs w:val="21"/>
        </w:rPr>
      </w:pPr>
      <w:r>
        <w:rPr>
          <w:b/>
          <w:szCs w:val="21"/>
        </w:rPr>
        <w:t>投标函</w:t>
      </w:r>
    </w:p>
    <w:p w14:paraId="20DAF09E">
      <w:pPr>
        <w:spacing w:line="400" w:lineRule="exact"/>
        <w:ind w:firstLine="420"/>
      </w:pPr>
      <w:r>
        <w:t>致招标人：</w:t>
      </w:r>
    </w:p>
    <w:p w14:paraId="15953A34">
      <w:pPr>
        <w:spacing w:line="400" w:lineRule="exact"/>
        <w:ind w:firstLine="422"/>
        <w:rPr>
          <w:b/>
          <w:szCs w:val="21"/>
        </w:rPr>
      </w:pPr>
      <w:r>
        <w:rPr>
          <w:b/>
          <w:bCs/>
        </w:rPr>
        <w:t>根据贵方</w:t>
      </w:r>
      <w:r>
        <w:rPr>
          <w:u w:val="single"/>
        </w:rPr>
        <w:t xml:space="preserve">     （项目名称）     </w:t>
      </w:r>
      <w:r>
        <w:rPr>
          <w:b/>
          <w:bCs/>
        </w:rPr>
        <w:t>的招标公告</w:t>
      </w:r>
      <w:r>
        <w:rPr>
          <w:b/>
          <w:szCs w:val="21"/>
        </w:rPr>
        <w:t>（</w:t>
      </w:r>
      <w:r>
        <w:rPr>
          <w:rFonts w:hint="eastAsia"/>
          <w:b/>
          <w:szCs w:val="21"/>
        </w:rPr>
        <w:t>项目</w:t>
      </w:r>
    </w:p>
    <w:p w14:paraId="1F637BBC">
      <w:pPr>
        <w:spacing w:line="400" w:lineRule="exact"/>
        <w:ind w:firstLine="422"/>
        <w:rPr>
          <w:szCs w:val="21"/>
        </w:rPr>
      </w:pPr>
      <w:r>
        <w:rPr>
          <w:rFonts w:hint="eastAsia"/>
          <w:b/>
          <w:szCs w:val="21"/>
        </w:rPr>
        <w:t>编号</w:t>
      </w:r>
      <w:r>
        <w:rPr>
          <w:b/>
          <w:szCs w:val="21"/>
        </w:rPr>
        <w:t>：</w:t>
      </w:r>
      <w:r>
        <w:rPr>
          <w:b/>
          <w:szCs w:val="21"/>
          <w:u w:val="single"/>
        </w:rPr>
        <w:t xml:space="preserve">      </w:t>
      </w:r>
      <w:r>
        <w:rPr>
          <w:b/>
          <w:szCs w:val="21"/>
        </w:rPr>
        <w:t>），</w:t>
      </w:r>
      <w:r>
        <w:rPr>
          <w:szCs w:val="21"/>
        </w:rPr>
        <w:t>我方递交投标文件</w:t>
      </w:r>
      <w:r>
        <w:t>价格标</w:t>
      </w:r>
      <w:r>
        <w:rPr>
          <w:szCs w:val="21"/>
          <w:u w:val="single"/>
        </w:rPr>
        <w:t xml:space="preserve">  1  </w:t>
      </w:r>
      <w:r>
        <w:rPr>
          <w:szCs w:val="21"/>
        </w:rPr>
        <w:t>份、</w:t>
      </w:r>
      <w:r>
        <w:t>资</w:t>
      </w:r>
      <w:r>
        <w:rPr>
          <w:rFonts w:hint="eastAsia"/>
        </w:rPr>
        <w:t>审文件</w:t>
      </w:r>
      <w:r>
        <w:rPr>
          <w:szCs w:val="21"/>
          <w:u w:val="single"/>
        </w:rPr>
        <w:t xml:space="preserve">  1  </w:t>
      </w:r>
      <w:r>
        <w:rPr>
          <w:szCs w:val="21"/>
        </w:rPr>
        <w:t>份、</w:t>
      </w:r>
      <w:r>
        <w:t>商务技术标</w:t>
      </w:r>
      <w:r>
        <w:rPr>
          <w:szCs w:val="21"/>
          <w:u w:val="single"/>
        </w:rPr>
        <w:t xml:space="preserve">  1  </w:t>
      </w:r>
      <w:r>
        <w:rPr>
          <w:szCs w:val="21"/>
        </w:rPr>
        <w:t>份。</w:t>
      </w:r>
    </w:p>
    <w:p w14:paraId="4E1399EA">
      <w:pPr>
        <w:spacing w:line="400" w:lineRule="exact"/>
        <w:ind w:firstLine="420"/>
      </w:pPr>
      <w:r>
        <w:t>据此函，签字代表宣布同意如下：</w:t>
      </w:r>
    </w:p>
    <w:p w14:paraId="3FE7505D">
      <w:pPr>
        <w:spacing w:line="400" w:lineRule="exact"/>
        <w:ind w:firstLine="420"/>
      </w:pPr>
      <w:r>
        <w:t>1.提供投标须知规定的全部投标文件。</w:t>
      </w:r>
    </w:p>
    <w:p w14:paraId="60D97F01">
      <w:pPr>
        <w:spacing w:line="400" w:lineRule="exact"/>
        <w:ind w:firstLine="420"/>
      </w:pPr>
      <w:r>
        <w:t>2.总投标价为人民币（大写）：</w:t>
      </w:r>
      <w:r>
        <w:rPr>
          <w:u w:val="single"/>
        </w:rPr>
        <w:t xml:space="preserve">                    </w:t>
      </w:r>
      <w:r>
        <w:t>元；</w:t>
      </w:r>
    </w:p>
    <w:p w14:paraId="61B22425">
      <w:pPr>
        <w:spacing w:line="400" w:lineRule="exact"/>
        <w:ind w:firstLine="420"/>
      </w:pPr>
      <w:r>
        <w:t xml:space="preserve">                  （小写）：</w:t>
      </w:r>
      <w:r>
        <w:rPr>
          <w:u w:val="single"/>
        </w:rPr>
        <w:t xml:space="preserve">                    </w:t>
      </w:r>
      <w:r>
        <w:t>元。</w:t>
      </w:r>
    </w:p>
    <w:p w14:paraId="486E97CE">
      <w:pPr>
        <w:spacing w:line="400" w:lineRule="exact"/>
        <w:ind w:firstLine="420"/>
      </w:pPr>
      <w:r>
        <w:t>3.投标人已详细审查全部“招标文件”，包括修改文件（如有）以及全部参考资料和有关附件，已经了解我方对于招标文件、采购过程、采购结果有依法进行询问、</w:t>
      </w:r>
      <w:r>
        <w:rPr>
          <w:rFonts w:hint="eastAsia"/>
        </w:rPr>
        <w:t>异议</w:t>
      </w:r>
      <w:r>
        <w:t>、投诉的权利及相关渠道和要求。</w:t>
      </w:r>
    </w:p>
    <w:p w14:paraId="659BD3D0">
      <w:pPr>
        <w:spacing w:line="400" w:lineRule="exact"/>
        <w:ind w:firstLine="420"/>
      </w:pPr>
      <w:r>
        <w:t>4.投标人在投标之前已经与贵方进行了充分的沟通，完全理解并接受招标文件的各项规定和要求，对招标文件的合理性、合法性不再有异议。</w:t>
      </w:r>
    </w:p>
    <w:p w14:paraId="2EBD3289">
      <w:pPr>
        <w:spacing w:line="400" w:lineRule="exact"/>
        <w:ind w:firstLine="420"/>
      </w:pPr>
      <w:r>
        <w:t>5.本投标有效期自开标日起</w:t>
      </w:r>
      <w:r>
        <w:rPr>
          <w:u w:val="single"/>
        </w:rPr>
        <w:t>60</w:t>
      </w:r>
      <w:r>
        <w:t>日历天。</w:t>
      </w:r>
    </w:p>
    <w:p w14:paraId="50F5969A">
      <w:pPr>
        <w:spacing w:line="400" w:lineRule="exact"/>
        <w:ind w:firstLine="420"/>
      </w:pPr>
      <w:r>
        <w:t>6.如中标，本投标文件至本项目合同履行完毕止均保持有效，本投标人将按“招标文件”及政府采购法律、法规的规定履行合同责任和义务。</w:t>
      </w:r>
    </w:p>
    <w:p w14:paraId="18A05ADC">
      <w:pPr>
        <w:spacing w:line="400" w:lineRule="exact"/>
        <w:ind w:firstLine="420"/>
      </w:pPr>
      <w:r>
        <w:t>7.投标人同意按照贵方要求提供与投标有关的一切数据或资料。</w:t>
      </w:r>
    </w:p>
    <w:p w14:paraId="3A60B09E">
      <w:pPr>
        <w:spacing w:line="400" w:lineRule="exact"/>
        <w:ind w:firstLine="420"/>
      </w:pPr>
      <w:r>
        <w:t>8.投标人同意按招标文件规定交纳投标保证金、中标服务费，遵守所有有关招标的各项规定。</w:t>
      </w:r>
    </w:p>
    <w:p w14:paraId="3CE515C9">
      <w:pPr>
        <w:spacing w:line="400" w:lineRule="exact"/>
        <w:ind w:firstLine="420"/>
      </w:pPr>
      <w:r>
        <w:t>9.与本投标有关的一切正式往来信函请寄：</w:t>
      </w:r>
    </w:p>
    <w:p w14:paraId="4B82C570">
      <w:pPr>
        <w:spacing w:line="400" w:lineRule="exact"/>
        <w:ind w:firstLine="420"/>
      </w:pPr>
      <w:r>
        <w:t>地址：</w:t>
      </w:r>
      <w:r>
        <w:rPr>
          <w:u w:val="single"/>
        </w:rPr>
        <w:t xml:space="preserve">              </w:t>
      </w:r>
      <w:r>
        <w:t xml:space="preserve"> 邮编：</w:t>
      </w:r>
      <w:r>
        <w:rPr>
          <w:u w:val="single"/>
        </w:rPr>
        <w:t xml:space="preserve">               </w:t>
      </w:r>
      <w:r>
        <w:t xml:space="preserve"> </w:t>
      </w:r>
    </w:p>
    <w:p w14:paraId="3AEB8EC6">
      <w:pPr>
        <w:spacing w:line="400" w:lineRule="exact"/>
        <w:ind w:firstLine="420"/>
      </w:pPr>
      <w:r>
        <w:t>电话：______________ 传真：</w:t>
      </w:r>
      <w:r>
        <w:rPr>
          <w:u w:val="single"/>
        </w:rPr>
        <w:t xml:space="preserve">              </w:t>
      </w:r>
      <w:r>
        <w:t xml:space="preserve"> </w:t>
      </w:r>
    </w:p>
    <w:p w14:paraId="333A78DD">
      <w:pPr>
        <w:spacing w:line="400" w:lineRule="exact"/>
        <w:ind w:firstLine="420"/>
      </w:pPr>
      <w:r>
        <w:t>投标人代表姓名：</w:t>
      </w:r>
      <w:r>
        <w:rPr>
          <w:u w:val="single"/>
        </w:rPr>
        <w:t xml:space="preserve">              </w:t>
      </w:r>
      <w:r>
        <w:t xml:space="preserve"> 职务：______________              </w:t>
      </w:r>
    </w:p>
    <w:p w14:paraId="56433D9C">
      <w:pPr>
        <w:spacing w:line="400" w:lineRule="exact"/>
        <w:ind w:firstLine="420"/>
      </w:pPr>
      <w:r>
        <w:t xml:space="preserve">开户银行：_________________ </w:t>
      </w:r>
      <w:r>
        <w:rPr>
          <w:rFonts w:hint="eastAsia"/>
        </w:rPr>
        <w:t>银行账号</w:t>
      </w:r>
      <w:r>
        <w:t>：_________________</w:t>
      </w:r>
    </w:p>
    <w:p w14:paraId="17CFEAED">
      <w:pPr>
        <w:pStyle w:val="5"/>
        <w:spacing w:line="400" w:lineRule="exact"/>
        <w:ind w:firstLine="420"/>
        <w:rPr>
          <w:b w:val="0"/>
          <w:bCs/>
        </w:rPr>
      </w:pPr>
    </w:p>
    <w:p w14:paraId="67348792">
      <w:pPr>
        <w:spacing w:before="156" w:beforeLines="50" w:line="400" w:lineRule="exact"/>
        <w:ind w:firstLine="420"/>
      </w:pPr>
      <w:r>
        <w:t>法定代表人或授权代表（签章）：</w:t>
      </w:r>
    </w:p>
    <w:p w14:paraId="43CD0D0D">
      <w:pPr>
        <w:spacing w:line="400" w:lineRule="exact"/>
        <w:ind w:firstLine="420"/>
      </w:pPr>
      <w:r>
        <w:t xml:space="preserve">投标人名称（公章）： _________________                 </w:t>
      </w:r>
    </w:p>
    <w:p w14:paraId="7923C02A">
      <w:pPr>
        <w:pStyle w:val="5"/>
        <w:spacing w:line="400" w:lineRule="exact"/>
        <w:ind w:firstLine="420"/>
        <w:jc w:val="right"/>
        <w:rPr>
          <w:b w:val="0"/>
          <w:bCs/>
        </w:rPr>
      </w:pPr>
    </w:p>
    <w:p w14:paraId="7BCBA257">
      <w:pPr>
        <w:pStyle w:val="5"/>
        <w:spacing w:line="400" w:lineRule="exact"/>
        <w:ind w:firstLine="420"/>
        <w:jc w:val="right"/>
        <w:rPr>
          <w:b w:val="0"/>
          <w:bCs/>
        </w:rPr>
      </w:pPr>
      <w:r>
        <w:rPr>
          <w:b w:val="0"/>
          <w:bCs/>
        </w:rPr>
        <w:t>日期：_____年___月___日</w:t>
      </w:r>
    </w:p>
    <w:p w14:paraId="754FF9CE">
      <w:pPr>
        <w:pStyle w:val="5"/>
        <w:ind w:firstLine="420"/>
        <w:rPr>
          <w:bCs/>
        </w:rPr>
      </w:pPr>
      <w:r>
        <w:rPr>
          <w:b w:val="0"/>
          <w:bCs/>
        </w:rPr>
        <w:br w:type="page"/>
      </w:r>
      <w:r>
        <w:rPr>
          <w:bCs/>
        </w:rPr>
        <w:t xml:space="preserve">2. </w:t>
      </w:r>
      <w:r>
        <w:rPr>
          <w:rFonts w:hint="eastAsia"/>
          <w:bCs/>
          <w:szCs w:val="21"/>
        </w:rPr>
        <w:t>开标一览表</w:t>
      </w:r>
    </w:p>
    <w:p w14:paraId="798E16D7">
      <w:pPr>
        <w:ind w:firstLine="422"/>
        <w:jc w:val="center"/>
        <w:rPr>
          <w:rFonts w:ascii="宋体" w:hAnsi="宋体" w:cs="宋体"/>
          <w:b/>
          <w:szCs w:val="21"/>
        </w:rPr>
      </w:pPr>
      <w:r>
        <w:rPr>
          <w:rFonts w:hint="eastAsia" w:ascii="宋体" w:hAnsi="宋体" w:cs="宋体"/>
          <w:b/>
          <w:szCs w:val="21"/>
        </w:rPr>
        <w:t>2-1开标一览表</w:t>
      </w:r>
    </w:p>
    <w:p w14:paraId="47B72329">
      <w:pPr>
        <w:ind w:firstLine="422"/>
        <w:jc w:val="center"/>
        <w:rPr>
          <w:rFonts w:ascii="宋体" w:hAnsi="宋体" w:cs="宋体"/>
          <w:b/>
          <w:szCs w:val="21"/>
        </w:rPr>
      </w:pPr>
    </w:p>
    <w:tbl>
      <w:tblPr>
        <w:tblStyle w:val="44"/>
        <w:tblW w:w="4888"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7"/>
        <w:gridCol w:w="4331"/>
      </w:tblGrid>
      <w:tr w14:paraId="6318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472" w:type="pct"/>
            <w:vAlign w:val="center"/>
          </w:tcPr>
          <w:p w14:paraId="50F10FDC">
            <w:pPr>
              <w:spacing w:line="440" w:lineRule="exact"/>
              <w:ind w:firstLine="0" w:firstLineChars="0"/>
              <w:jc w:val="center"/>
              <w:rPr>
                <w:rFonts w:ascii="宋体" w:hAnsi="宋体" w:cs="宋体"/>
                <w:b/>
                <w:bCs/>
                <w:szCs w:val="21"/>
              </w:rPr>
            </w:pPr>
            <w:r>
              <w:rPr>
                <w:rFonts w:hint="eastAsia" w:ascii="宋体" w:hAnsi="宋体" w:cs="宋体"/>
                <w:b/>
                <w:bCs/>
                <w:szCs w:val="21"/>
              </w:rPr>
              <w:t>项目内容</w:t>
            </w:r>
          </w:p>
        </w:tc>
        <w:tc>
          <w:tcPr>
            <w:tcW w:w="2527" w:type="pct"/>
            <w:vAlign w:val="center"/>
          </w:tcPr>
          <w:p w14:paraId="7389347E">
            <w:pPr>
              <w:spacing w:line="440" w:lineRule="exact"/>
              <w:ind w:firstLine="0" w:firstLineChars="0"/>
              <w:jc w:val="center"/>
              <w:rPr>
                <w:rFonts w:ascii="宋体" w:hAnsi="宋体" w:cs="宋体"/>
                <w:szCs w:val="21"/>
              </w:rPr>
            </w:pPr>
            <w:r>
              <w:rPr>
                <w:rFonts w:hAnsi="宋体" w:eastAsia="Times New Roman"/>
                <w:b/>
                <w:szCs w:val="21"/>
              </w:rPr>
              <w:t>投标</w:t>
            </w:r>
            <w:r>
              <w:rPr>
                <w:rFonts w:hint="eastAsia" w:hAnsi="宋体" w:eastAsia="Times New Roman"/>
                <w:b/>
                <w:szCs w:val="21"/>
              </w:rPr>
              <w:t>报价（含税）</w:t>
            </w:r>
          </w:p>
        </w:tc>
      </w:tr>
      <w:tr w14:paraId="0538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472" w:type="pct"/>
            <w:vAlign w:val="center"/>
          </w:tcPr>
          <w:p w14:paraId="0C4D24AD">
            <w:pPr>
              <w:spacing w:line="440" w:lineRule="exact"/>
              <w:ind w:firstLine="0" w:firstLineChars="0"/>
              <w:jc w:val="center"/>
              <w:rPr>
                <w:rFonts w:ascii="宋体" w:hAnsi="宋体" w:cs="宋体"/>
                <w:b/>
                <w:bCs/>
                <w:szCs w:val="21"/>
              </w:rPr>
            </w:pPr>
            <w:r>
              <w:rPr>
                <w:rFonts w:hint="eastAsia" w:ascii="宋体" w:hAnsi="宋体" w:cs="宋体"/>
                <w:b/>
                <w:bCs/>
                <w:szCs w:val="21"/>
              </w:rPr>
              <w:t>温州金洋集装箱码头有限公司超融合升级扩容</w:t>
            </w:r>
          </w:p>
        </w:tc>
        <w:tc>
          <w:tcPr>
            <w:tcW w:w="2527" w:type="pct"/>
            <w:vAlign w:val="center"/>
          </w:tcPr>
          <w:p w14:paraId="253B0BBF">
            <w:pPr>
              <w:pStyle w:val="24"/>
              <w:spacing w:before="156" w:after="156" w:line="360" w:lineRule="auto"/>
              <w:ind w:firstLine="0" w:firstLineChars="0"/>
              <w:jc w:val="left"/>
              <w:rPr>
                <w:rFonts w:hint="default" w:hAnsi="宋体" w:eastAsia="Times New Roman"/>
                <w:b/>
                <w:sz w:val="21"/>
                <w:szCs w:val="21"/>
              </w:rPr>
            </w:pPr>
            <w:r>
              <w:rPr>
                <w:rFonts w:hAnsi="宋体" w:eastAsia="Times New Roman"/>
                <w:b/>
                <w:sz w:val="21"/>
                <w:szCs w:val="21"/>
              </w:rPr>
              <w:t>小写：</w:t>
            </w:r>
            <w:r>
              <w:rPr>
                <w:rFonts w:hAnsi="宋体" w:eastAsia="Times New Roman"/>
                <w:b/>
                <w:sz w:val="21"/>
                <w:szCs w:val="21"/>
                <w:u w:val="single"/>
              </w:rPr>
              <w:t xml:space="preserve">     </w:t>
            </w:r>
            <w:r>
              <w:rPr>
                <w:rFonts w:hAnsi="宋体" w:eastAsia="Times New Roman"/>
                <w:b/>
                <w:sz w:val="21"/>
                <w:szCs w:val="21"/>
              </w:rPr>
              <w:t>元</w:t>
            </w:r>
          </w:p>
          <w:p w14:paraId="517DD6B2">
            <w:pPr>
              <w:pStyle w:val="24"/>
              <w:spacing w:before="156" w:after="156" w:line="360" w:lineRule="auto"/>
              <w:ind w:firstLine="0" w:firstLineChars="0"/>
              <w:jc w:val="left"/>
              <w:rPr>
                <w:rFonts w:hint="default" w:hAnsi="宋体"/>
                <w:sz w:val="21"/>
                <w:szCs w:val="21"/>
              </w:rPr>
            </w:pPr>
            <w:r>
              <w:rPr>
                <w:rFonts w:hAnsi="宋体" w:eastAsia="Times New Roman"/>
                <w:b/>
                <w:sz w:val="21"/>
                <w:szCs w:val="21"/>
              </w:rPr>
              <w:t>大写：</w:t>
            </w:r>
            <w:r>
              <w:rPr>
                <w:rFonts w:hAnsi="宋体" w:eastAsia="Times New Roman"/>
                <w:b/>
                <w:sz w:val="21"/>
                <w:szCs w:val="21"/>
                <w:u w:val="single"/>
              </w:rPr>
              <w:t xml:space="preserve">     </w:t>
            </w:r>
            <w:r>
              <w:rPr>
                <w:rFonts w:hAnsi="宋体" w:eastAsia="Times New Roman"/>
                <w:b/>
                <w:sz w:val="21"/>
                <w:szCs w:val="21"/>
              </w:rPr>
              <w:t>元</w:t>
            </w:r>
          </w:p>
        </w:tc>
      </w:tr>
      <w:tr w14:paraId="287C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215BB31D">
            <w:pPr>
              <w:pStyle w:val="24"/>
              <w:spacing w:before="156" w:after="156" w:line="360" w:lineRule="auto"/>
              <w:ind w:firstLine="0" w:firstLineChars="0"/>
              <w:jc w:val="center"/>
              <w:rPr>
                <w:rFonts w:hint="default" w:hAnsi="宋体"/>
                <w:sz w:val="21"/>
                <w:szCs w:val="21"/>
              </w:rPr>
            </w:pPr>
            <w:r>
              <w:rPr>
                <w:rFonts w:hAnsi="宋体"/>
                <w:b/>
                <w:bCs/>
                <w:sz w:val="21"/>
                <w:szCs w:val="21"/>
              </w:rPr>
              <w:t>交货期</w:t>
            </w:r>
          </w:p>
        </w:tc>
        <w:tc>
          <w:tcPr>
            <w:tcW w:w="2527" w:type="pct"/>
            <w:vAlign w:val="center"/>
          </w:tcPr>
          <w:p w14:paraId="5CF13EBF">
            <w:pPr>
              <w:pStyle w:val="24"/>
              <w:spacing w:before="156" w:after="156" w:line="360" w:lineRule="auto"/>
              <w:ind w:firstLine="0" w:firstLineChars="0"/>
              <w:jc w:val="left"/>
              <w:rPr>
                <w:rFonts w:hint="default" w:hAnsi="宋体"/>
                <w:sz w:val="21"/>
                <w:szCs w:val="21"/>
              </w:rPr>
            </w:pPr>
          </w:p>
        </w:tc>
      </w:tr>
      <w:tr w14:paraId="5785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54ABEDBB">
            <w:pPr>
              <w:pStyle w:val="24"/>
              <w:spacing w:before="156" w:after="156" w:line="360" w:lineRule="auto"/>
              <w:ind w:firstLine="0" w:firstLineChars="0"/>
              <w:jc w:val="center"/>
              <w:rPr>
                <w:rFonts w:hint="default" w:hAnsi="宋体" w:eastAsia="Times New Roman"/>
                <w:b/>
                <w:sz w:val="21"/>
                <w:szCs w:val="21"/>
              </w:rPr>
            </w:pPr>
            <w:r>
              <w:rPr>
                <w:rFonts w:hAnsi="宋体" w:eastAsia="Times New Roman"/>
                <w:b/>
                <w:sz w:val="21"/>
                <w:szCs w:val="21"/>
              </w:rPr>
              <w:t>质保期</w:t>
            </w:r>
          </w:p>
        </w:tc>
        <w:tc>
          <w:tcPr>
            <w:tcW w:w="2527" w:type="pct"/>
            <w:vAlign w:val="center"/>
          </w:tcPr>
          <w:p w14:paraId="690EA0F3">
            <w:pPr>
              <w:pStyle w:val="24"/>
              <w:spacing w:before="156" w:after="156" w:line="360" w:lineRule="auto"/>
              <w:ind w:firstLine="0" w:firstLineChars="0"/>
              <w:jc w:val="left"/>
              <w:rPr>
                <w:rFonts w:hint="default" w:hAnsi="宋体" w:eastAsia="Times New Roman"/>
                <w:b/>
                <w:sz w:val="21"/>
                <w:szCs w:val="21"/>
              </w:rPr>
            </w:pPr>
          </w:p>
        </w:tc>
      </w:tr>
    </w:tbl>
    <w:p w14:paraId="6B81AF49">
      <w:pPr>
        <w:pStyle w:val="15"/>
        <w:ind w:firstLine="422"/>
      </w:pPr>
      <w:r>
        <w:rPr>
          <w:rFonts w:hint="eastAsia" w:ascii="宋体" w:hAnsi="宋体" w:cs="宋体"/>
          <w:b/>
          <w:kern w:val="2"/>
          <w:sz w:val="21"/>
          <w:szCs w:val="21"/>
        </w:rPr>
        <w:t>注：1、</w:t>
      </w:r>
      <w:r>
        <w:rPr>
          <w:rFonts w:hint="eastAsia" w:ascii="宋体" w:hAnsi="宋体" w:cs="宋体"/>
          <w:b/>
          <w:sz w:val="22"/>
          <w:szCs w:val="22"/>
        </w:rPr>
        <w:t>本次报价</w:t>
      </w:r>
      <w:r>
        <w:rPr>
          <w:rFonts w:hint="eastAsia" w:ascii="宋体" w:hAnsi="宋体" w:cs="宋体"/>
          <w:b/>
          <w:sz w:val="22"/>
          <w:szCs w:val="22"/>
          <w:lang w:val="zh-CN"/>
        </w:rPr>
        <w:t>“元”指作为货币单位的人民币元。</w:t>
      </w:r>
      <w:r>
        <w:rPr>
          <w:rFonts w:hint="eastAsia" w:ascii="宋体" w:hAnsi="宋体" w:cs="宋体"/>
          <w:b/>
          <w:kern w:val="2"/>
          <w:sz w:val="21"/>
          <w:szCs w:val="21"/>
        </w:rPr>
        <w:t>投标报价主要包含但不限于包括按完成本次采购产品的供货、仓储、运输、装卸、通过验收、质保期服务等各项工作所发生的一切费用，以及税金、包装、保险、技术服务、售后服务、管理等，一切本身和不可或缺的所有工作开支、政策性文件规定及合同包含的所有风险、责任等各项全部费用，实行固定费用总包干。</w:t>
      </w:r>
      <w:r>
        <w:rPr>
          <w:rFonts w:hint="eastAsia" w:ascii="宋体" w:hAnsi="宋体" w:cs="宋体"/>
          <w:b/>
          <w:sz w:val="22"/>
          <w:szCs w:val="22"/>
          <w:lang w:val="zh-CN"/>
        </w:rPr>
        <w:t>投标人应根据上述因素自行考虑含入投标总价。</w:t>
      </w:r>
    </w:p>
    <w:p w14:paraId="09DBB38B">
      <w:pPr>
        <w:pStyle w:val="15"/>
        <w:ind w:firstLine="422"/>
        <w:rPr>
          <w:rFonts w:ascii="宋体" w:hAnsi="宋体" w:cs="宋体"/>
          <w:b/>
          <w:kern w:val="2"/>
          <w:sz w:val="21"/>
          <w:szCs w:val="21"/>
        </w:rPr>
      </w:pPr>
      <w:r>
        <w:rPr>
          <w:rFonts w:hint="eastAsia" w:ascii="宋体" w:hAnsi="宋体" w:cs="宋体"/>
          <w:b/>
          <w:kern w:val="2"/>
          <w:sz w:val="21"/>
          <w:szCs w:val="21"/>
        </w:rPr>
        <w:t>2、★本项目最高限价为24万元。</w:t>
      </w:r>
    </w:p>
    <w:p w14:paraId="6092653E">
      <w:pPr>
        <w:pStyle w:val="15"/>
        <w:ind w:firstLine="422"/>
        <w:rPr>
          <w:rFonts w:ascii="宋体" w:hAnsi="宋体" w:cs="宋体"/>
          <w:b/>
          <w:kern w:val="2"/>
          <w:sz w:val="21"/>
          <w:szCs w:val="21"/>
        </w:rPr>
      </w:pPr>
      <w:r>
        <w:rPr>
          <w:rFonts w:hint="eastAsia" w:ascii="宋体" w:hAnsi="宋体" w:cs="宋体"/>
          <w:b/>
          <w:kern w:val="2"/>
          <w:sz w:val="21"/>
          <w:szCs w:val="21"/>
        </w:rPr>
        <w:t>3、此栏内投标总价应与2-2 “分项报价表”中投标总价相一致。</w:t>
      </w:r>
    </w:p>
    <w:p w14:paraId="3CB74AD0">
      <w:pPr>
        <w:pStyle w:val="15"/>
        <w:ind w:firstLine="422"/>
        <w:rPr>
          <w:rFonts w:ascii="宋体" w:hAnsi="宋体" w:cs="宋体"/>
          <w:b/>
          <w:kern w:val="2"/>
          <w:sz w:val="21"/>
          <w:szCs w:val="21"/>
          <w:highlight w:val="green"/>
        </w:rPr>
      </w:pPr>
      <w:r>
        <w:rPr>
          <w:rFonts w:hint="eastAsia" w:ascii="宋体" w:hAnsi="宋体" w:cs="宋体"/>
          <w:b/>
          <w:kern w:val="2"/>
          <w:sz w:val="21"/>
          <w:szCs w:val="21"/>
        </w:rPr>
        <w:t>4、★不提供投标报价一览表的投标文件将被视为未实质性响应招标文件。</w:t>
      </w:r>
    </w:p>
    <w:p w14:paraId="1390D44D">
      <w:pPr>
        <w:pStyle w:val="15"/>
        <w:ind w:firstLine="400"/>
      </w:pPr>
    </w:p>
    <w:p w14:paraId="7560B46D">
      <w:pPr>
        <w:snapToGrid w:val="0"/>
        <w:spacing w:before="50" w:after="50"/>
        <w:ind w:firstLine="422"/>
        <w:jc w:val="left"/>
        <w:rPr>
          <w:rFonts w:ascii="宋体" w:hAnsi="宋体"/>
          <w:b/>
          <w:bCs/>
          <w:szCs w:val="21"/>
        </w:rPr>
      </w:pPr>
    </w:p>
    <w:p w14:paraId="22938F0E">
      <w:pPr>
        <w:pStyle w:val="43"/>
      </w:pPr>
    </w:p>
    <w:p w14:paraId="745397F5">
      <w:pPr>
        <w:snapToGrid w:val="0"/>
        <w:ind w:firstLine="420"/>
        <w:rPr>
          <w:rFonts w:ascii="宋体" w:hAnsi="宋体" w:cs="宋体"/>
          <w:szCs w:val="21"/>
        </w:rPr>
      </w:pPr>
      <w:r>
        <w:rPr>
          <w:rFonts w:hint="eastAsia" w:ascii="宋体" w:hAnsi="宋体" w:cs="宋体"/>
          <w:szCs w:val="21"/>
        </w:rPr>
        <w:t>投标人名称(公章):___________________</w:t>
      </w:r>
    </w:p>
    <w:p w14:paraId="00BF7EAC">
      <w:pPr>
        <w:snapToGrid w:val="0"/>
        <w:ind w:firstLine="420"/>
        <w:rPr>
          <w:rFonts w:ascii="宋体" w:hAnsi="宋体" w:cs="宋体"/>
          <w:szCs w:val="21"/>
        </w:rPr>
      </w:pPr>
      <w:r>
        <w:rPr>
          <w:rFonts w:hint="eastAsia" w:ascii="宋体" w:hAnsi="宋体" w:cs="宋体"/>
          <w:szCs w:val="21"/>
        </w:rPr>
        <w:t xml:space="preserve">法定代表人或授权代表（签字或盖章）:___________                      </w:t>
      </w:r>
    </w:p>
    <w:p w14:paraId="7A86509D">
      <w:pPr>
        <w:snapToGrid w:val="0"/>
        <w:ind w:firstLine="420"/>
        <w:rPr>
          <w:rFonts w:ascii="宋体" w:hAnsi="宋体" w:cs="宋体"/>
          <w:szCs w:val="21"/>
        </w:rPr>
        <w:sectPr>
          <w:headerReference r:id="rId16" w:type="default"/>
          <w:footerReference r:id="rId17" w:type="default"/>
          <w:pgSz w:w="11906" w:h="16838"/>
          <w:pgMar w:top="1440" w:right="1558" w:bottom="1440" w:left="1800" w:header="851" w:footer="992" w:gutter="0"/>
          <w:cols w:space="720" w:num="1"/>
          <w:docGrid w:type="lines" w:linePitch="312" w:charSpace="0"/>
        </w:sectPr>
      </w:pPr>
      <w:r>
        <w:rPr>
          <w:rFonts w:hint="eastAsia" w:ascii="宋体" w:hAnsi="宋体" w:cs="宋体"/>
          <w:szCs w:val="21"/>
        </w:rPr>
        <w:t>日期:_____年___月___日</w:t>
      </w:r>
    </w:p>
    <w:p w14:paraId="53246AF4">
      <w:pPr>
        <w:pStyle w:val="20"/>
        <w:ind w:right="-252" w:firstLine="560"/>
        <w:sectPr>
          <w:type w:val="continuous"/>
          <w:pgSz w:w="11906" w:h="16838"/>
          <w:pgMar w:top="1440" w:right="1558" w:bottom="1440" w:left="1800" w:header="851" w:footer="992" w:gutter="0"/>
          <w:cols w:space="720" w:num="1"/>
          <w:docGrid w:type="lines" w:linePitch="312" w:charSpace="0"/>
        </w:sectPr>
      </w:pPr>
    </w:p>
    <w:p w14:paraId="4333FDA4">
      <w:pPr>
        <w:ind w:firstLine="0" w:firstLineChars="0"/>
        <w:jc w:val="center"/>
        <w:rPr>
          <w:rFonts w:ascii="宋体" w:hAnsi="宋体" w:cs="宋体"/>
          <w:b/>
          <w:szCs w:val="21"/>
        </w:rPr>
      </w:pPr>
      <w:r>
        <w:rPr>
          <w:rFonts w:hint="eastAsia" w:ascii="宋体" w:hAnsi="宋体" w:cs="宋体"/>
          <w:b/>
          <w:szCs w:val="21"/>
        </w:rPr>
        <w:t>2-2分项报价表</w:t>
      </w:r>
    </w:p>
    <w:p w14:paraId="3792FE3D">
      <w:pPr>
        <w:ind w:firstLine="0" w:firstLineChars="0"/>
        <w:rPr>
          <w:rFonts w:ascii="宋体" w:hAnsi="宋体" w:cs="宋体"/>
          <w:b/>
          <w:szCs w:val="21"/>
        </w:rPr>
      </w:pPr>
    </w:p>
    <w:tbl>
      <w:tblPr>
        <w:tblStyle w:val="44"/>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771"/>
        <w:gridCol w:w="650"/>
        <w:gridCol w:w="810"/>
        <w:gridCol w:w="1503"/>
        <w:gridCol w:w="1296"/>
        <w:gridCol w:w="1063"/>
        <w:gridCol w:w="876"/>
        <w:gridCol w:w="876"/>
      </w:tblGrid>
      <w:tr w14:paraId="2BA6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jc w:val="center"/>
        </w:trPr>
        <w:tc>
          <w:tcPr>
            <w:tcW w:w="643" w:type="dxa"/>
            <w:noWrap/>
            <w:vAlign w:val="center"/>
          </w:tcPr>
          <w:p w14:paraId="63A91A30">
            <w:pPr>
              <w:snapToGrid w:val="0"/>
              <w:ind w:firstLine="0" w:firstLineChars="0"/>
              <w:jc w:val="center"/>
              <w:rPr>
                <w:rFonts w:ascii="宋体" w:hAnsi="宋体" w:cs="宋体"/>
                <w:b/>
                <w:bCs/>
                <w:color w:val="000000"/>
                <w:szCs w:val="21"/>
              </w:rPr>
            </w:pPr>
            <w:r>
              <w:rPr>
                <w:rFonts w:hint="eastAsia" w:ascii="宋体" w:hAnsi="宋体" w:cs="宋体"/>
                <w:b/>
                <w:bCs/>
                <w:color w:val="000000"/>
                <w:szCs w:val="21"/>
              </w:rPr>
              <w:t>序号</w:t>
            </w:r>
          </w:p>
        </w:tc>
        <w:tc>
          <w:tcPr>
            <w:tcW w:w="1771" w:type="dxa"/>
            <w:noWrap/>
            <w:vAlign w:val="center"/>
          </w:tcPr>
          <w:p w14:paraId="0304B83E">
            <w:pPr>
              <w:snapToGrid w:val="0"/>
              <w:ind w:firstLine="0" w:firstLineChars="0"/>
              <w:jc w:val="center"/>
              <w:rPr>
                <w:rFonts w:ascii="宋体" w:hAnsi="宋体" w:cs="宋体"/>
                <w:b/>
                <w:bCs/>
                <w:color w:val="000000"/>
                <w:szCs w:val="21"/>
              </w:rPr>
            </w:pPr>
            <w:r>
              <w:rPr>
                <w:rFonts w:hint="eastAsia" w:ascii="宋体" w:hAnsi="宋体" w:cs="宋体"/>
                <w:b/>
                <w:szCs w:val="21"/>
              </w:rPr>
              <w:t>设备名称</w:t>
            </w:r>
          </w:p>
        </w:tc>
        <w:tc>
          <w:tcPr>
            <w:tcW w:w="650" w:type="dxa"/>
            <w:noWrap/>
            <w:vAlign w:val="center"/>
          </w:tcPr>
          <w:p w14:paraId="064F77BB">
            <w:pPr>
              <w:snapToGrid w:val="0"/>
              <w:ind w:firstLine="0" w:firstLineChars="0"/>
              <w:jc w:val="center"/>
              <w:rPr>
                <w:rFonts w:ascii="宋体" w:hAnsi="宋体" w:cs="宋体"/>
                <w:b/>
                <w:bCs/>
                <w:color w:val="000000"/>
                <w:szCs w:val="21"/>
              </w:rPr>
            </w:pPr>
            <w:r>
              <w:rPr>
                <w:rFonts w:hint="eastAsia" w:ascii="宋体" w:hAnsi="宋体" w:cs="宋体"/>
                <w:b/>
                <w:szCs w:val="21"/>
              </w:rPr>
              <w:t>单位</w:t>
            </w:r>
          </w:p>
        </w:tc>
        <w:tc>
          <w:tcPr>
            <w:tcW w:w="810" w:type="dxa"/>
            <w:noWrap/>
            <w:vAlign w:val="center"/>
          </w:tcPr>
          <w:p w14:paraId="7E7BF7E7">
            <w:pPr>
              <w:snapToGrid w:val="0"/>
              <w:ind w:firstLine="0" w:firstLineChars="0"/>
              <w:jc w:val="center"/>
              <w:rPr>
                <w:rFonts w:ascii="宋体" w:hAnsi="宋体" w:cs="宋体"/>
                <w:b/>
                <w:bCs/>
                <w:color w:val="000000"/>
                <w:szCs w:val="21"/>
              </w:rPr>
            </w:pPr>
            <w:r>
              <w:rPr>
                <w:rFonts w:hint="eastAsia" w:ascii="宋体" w:hAnsi="宋体" w:cs="宋体"/>
                <w:b/>
                <w:szCs w:val="21"/>
              </w:rPr>
              <w:t>数量</w:t>
            </w:r>
          </w:p>
        </w:tc>
        <w:tc>
          <w:tcPr>
            <w:tcW w:w="1503" w:type="dxa"/>
            <w:noWrap/>
            <w:vAlign w:val="center"/>
          </w:tcPr>
          <w:p w14:paraId="484E9D44">
            <w:pPr>
              <w:snapToGrid w:val="0"/>
              <w:ind w:firstLine="0" w:firstLineChars="0"/>
              <w:jc w:val="center"/>
              <w:rPr>
                <w:rFonts w:ascii="宋体" w:hAnsi="宋体" w:cs="宋体"/>
                <w:b/>
                <w:bCs/>
                <w:color w:val="000000"/>
                <w:szCs w:val="21"/>
              </w:rPr>
            </w:pPr>
            <w:r>
              <w:rPr>
                <w:rFonts w:hint="eastAsia" w:ascii="宋体" w:hAnsi="宋体" w:cs="宋体"/>
                <w:b/>
                <w:bCs/>
                <w:color w:val="000000"/>
                <w:szCs w:val="21"/>
              </w:rPr>
              <w:t>投标型号</w:t>
            </w:r>
          </w:p>
        </w:tc>
        <w:tc>
          <w:tcPr>
            <w:tcW w:w="1296" w:type="dxa"/>
            <w:noWrap/>
            <w:vAlign w:val="center"/>
          </w:tcPr>
          <w:p w14:paraId="37A61255">
            <w:pPr>
              <w:snapToGrid w:val="0"/>
              <w:ind w:firstLine="0" w:firstLineChars="0"/>
              <w:jc w:val="center"/>
              <w:rPr>
                <w:rFonts w:ascii="宋体" w:hAnsi="宋体" w:cs="宋体"/>
                <w:b/>
                <w:bCs/>
                <w:color w:val="000000"/>
                <w:szCs w:val="21"/>
              </w:rPr>
            </w:pPr>
            <w:r>
              <w:rPr>
                <w:rFonts w:hint="eastAsia" w:ascii="宋体" w:hAnsi="宋体" w:cs="宋体"/>
                <w:b/>
                <w:bCs/>
                <w:color w:val="000000"/>
                <w:szCs w:val="21"/>
              </w:rPr>
              <w:t>单价（元）</w:t>
            </w:r>
          </w:p>
        </w:tc>
        <w:tc>
          <w:tcPr>
            <w:tcW w:w="1063" w:type="dxa"/>
            <w:noWrap/>
            <w:vAlign w:val="center"/>
          </w:tcPr>
          <w:p w14:paraId="5C017C49">
            <w:pPr>
              <w:snapToGrid w:val="0"/>
              <w:ind w:firstLine="0" w:firstLineChars="0"/>
              <w:jc w:val="center"/>
              <w:rPr>
                <w:rFonts w:ascii="宋体" w:hAnsi="宋体" w:cs="宋体"/>
                <w:b/>
                <w:bCs/>
                <w:color w:val="000000"/>
                <w:szCs w:val="21"/>
              </w:rPr>
            </w:pPr>
            <w:r>
              <w:rPr>
                <w:rFonts w:hint="eastAsia" w:ascii="宋体" w:hAnsi="宋体" w:cs="宋体"/>
                <w:b/>
                <w:bCs/>
                <w:color w:val="000000"/>
                <w:szCs w:val="21"/>
              </w:rPr>
              <w:t>小计（元）</w:t>
            </w:r>
          </w:p>
        </w:tc>
        <w:tc>
          <w:tcPr>
            <w:tcW w:w="876" w:type="dxa"/>
            <w:noWrap/>
            <w:vAlign w:val="center"/>
          </w:tcPr>
          <w:p w14:paraId="2E4C0100">
            <w:pPr>
              <w:snapToGrid w:val="0"/>
              <w:ind w:firstLine="0" w:firstLineChars="0"/>
              <w:jc w:val="center"/>
              <w:rPr>
                <w:rFonts w:hint="eastAsia" w:ascii="宋体" w:hAnsi="宋体" w:eastAsia="宋体" w:cs="宋体"/>
                <w:b/>
                <w:bCs/>
                <w:color w:val="000000"/>
                <w:szCs w:val="21"/>
                <w:lang w:val="en-US" w:eastAsia="zh-CN"/>
              </w:rPr>
            </w:pPr>
            <w:r>
              <w:rPr>
                <w:rFonts w:hint="eastAsia" w:ascii="宋体" w:hAnsi="宋体" w:cs="宋体"/>
                <w:b/>
                <w:bCs/>
                <w:color w:val="000000"/>
                <w:szCs w:val="21"/>
                <w:lang w:val="en-US" w:eastAsia="zh-CN"/>
              </w:rPr>
              <w:t>税率</w:t>
            </w:r>
          </w:p>
        </w:tc>
        <w:tc>
          <w:tcPr>
            <w:tcW w:w="876" w:type="dxa"/>
            <w:noWrap/>
            <w:vAlign w:val="center"/>
          </w:tcPr>
          <w:p w14:paraId="3576BA80">
            <w:pPr>
              <w:snapToGrid w:val="0"/>
              <w:ind w:firstLine="0" w:firstLineChars="0"/>
              <w:jc w:val="center"/>
              <w:rPr>
                <w:rFonts w:ascii="宋体" w:hAnsi="宋体" w:cs="宋体"/>
                <w:b/>
                <w:bCs/>
                <w:color w:val="000000"/>
                <w:szCs w:val="21"/>
              </w:rPr>
            </w:pPr>
            <w:r>
              <w:rPr>
                <w:rFonts w:hint="eastAsia" w:ascii="宋体" w:hAnsi="宋体" w:cs="宋体"/>
                <w:b/>
                <w:bCs/>
                <w:color w:val="000000"/>
                <w:szCs w:val="21"/>
              </w:rPr>
              <w:t>备注</w:t>
            </w:r>
          </w:p>
        </w:tc>
      </w:tr>
      <w:tr w14:paraId="1AB5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3" w:type="dxa"/>
            <w:noWrap/>
            <w:vAlign w:val="center"/>
          </w:tcPr>
          <w:p w14:paraId="011D9D33">
            <w:pPr>
              <w:snapToGrid w:val="0"/>
              <w:ind w:firstLine="0" w:firstLineChars="0"/>
              <w:jc w:val="center"/>
              <w:rPr>
                <w:rFonts w:ascii="宋体" w:hAnsi="宋体" w:cs="宋体"/>
                <w:color w:val="000000"/>
                <w:szCs w:val="21"/>
              </w:rPr>
            </w:pPr>
            <w:r>
              <w:rPr>
                <w:rFonts w:hint="eastAsia" w:ascii="宋体" w:hAnsi="宋体" w:cs="宋体"/>
                <w:color w:val="000000"/>
                <w:szCs w:val="21"/>
              </w:rPr>
              <w:t>1</w:t>
            </w:r>
          </w:p>
        </w:tc>
        <w:tc>
          <w:tcPr>
            <w:tcW w:w="1771" w:type="dxa"/>
            <w:vAlign w:val="center"/>
          </w:tcPr>
          <w:p w14:paraId="01F2D336">
            <w:pPr>
              <w:snapToGrid w:val="0"/>
              <w:ind w:firstLine="0" w:firstLineChars="0"/>
              <w:jc w:val="center"/>
              <w:rPr>
                <w:rFonts w:ascii="宋体" w:hAnsi="宋体" w:cs="宋体"/>
                <w:color w:val="000000"/>
                <w:szCs w:val="21"/>
              </w:rPr>
            </w:pPr>
            <w:r>
              <w:rPr>
                <w:rFonts w:hint="eastAsia" w:ascii="宋体" w:hAnsi="宋体" w:cs="宋体"/>
                <w:color w:val="000000"/>
                <w:szCs w:val="21"/>
              </w:rPr>
              <w:t>超融合节点硬件</w:t>
            </w:r>
          </w:p>
        </w:tc>
        <w:tc>
          <w:tcPr>
            <w:tcW w:w="650" w:type="dxa"/>
            <w:noWrap/>
            <w:vAlign w:val="center"/>
          </w:tcPr>
          <w:p w14:paraId="45A65496">
            <w:pPr>
              <w:snapToGrid w:val="0"/>
              <w:ind w:firstLine="0" w:firstLineChars="0"/>
              <w:jc w:val="center"/>
              <w:rPr>
                <w:rFonts w:ascii="宋体" w:hAnsi="宋体" w:cs="宋体"/>
                <w:color w:val="000000"/>
                <w:szCs w:val="21"/>
              </w:rPr>
            </w:pPr>
            <w:r>
              <w:rPr>
                <w:rFonts w:hint="eastAsia" w:ascii="宋体" w:hAnsi="宋体" w:cs="宋体"/>
                <w:color w:val="000000"/>
                <w:szCs w:val="21"/>
              </w:rPr>
              <w:t>1</w:t>
            </w:r>
          </w:p>
        </w:tc>
        <w:tc>
          <w:tcPr>
            <w:tcW w:w="810" w:type="dxa"/>
            <w:noWrap/>
            <w:vAlign w:val="center"/>
          </w:tcPr>
          <w:p w14:paraId="722F0127">
            <w:pPr>
              <w:snapToGrid w:val="0"/>
              <w:ind w:firstLine="0" w:firstLineChars="0"/>
              <w:jc w:val="center"/>
              <w:rPr>
                <w:rFonts w:ascii="宋体" w:hAnsi="宋体" w:cs="宋体"/>
                <w:color w:val="000000"/>
                <w:szCs w:val="21"/>
              </w:rPr>
            </w:pPr>
            <w:r>
              <w:rPr>
                <w:rFonts w:hint="eastAsia" w:ascii="宋体" w:hAnsi="宋体" w:cs="宋体"/>
                <w:color w:val="000000"/>
                <w:szCs w:val="21"/>
              </w:rPr>
              <w:t>台</w:t>
            </w:r>
          </w:p>
        </w:tc>
        <w:tc>
          <w:tcPr>
            <w:tcW w:w="1503" w:type="dxa"/>
            <w:noWrap/>
            <w:vAlign w:val="center"/>
          </w:tcPr>
          <w:p w14:paraId="7A0DA9CD">
            <w:pPr>
              <w:ind w:firstLine="0" w:firstLineChars="0"/>
              <w:jc w:val="left"/>
              <w:rPr>
                <w:rFonts w:ascii="宋体" w:hAnsi="宋体" w:cs="宋体"/>
                <w:color w:val="000000"/>
                <w:szCs w:val="21"/>
              </w:rPr>
            </w:pPr>
          </w:p>
        </w:tc>
        <w:tc>
          <w:tcPr>
            <w:tcW w:w="1296" w:type="dxa"/>
            <w:noWrap/>
            <w:vAlign w:val="center"/>
          </w:tcPr>
          <w:p w14:paraId="393E4F02">
            <w:pPr>
              <w:snapToGrid w:val="0"/>
              <w:ind w:firstLine="0" w:firstLineChars="0"/>
              <w:jc w:val="center"/>
              <w:rPr>
                <w:rFonts w:ascii="宋体" w:hAnsi="宋体" w:cs="宋体"/>
                <w:color w:val="000000"/>
                <w:szCs w:val="21"/>
              </w:rPr>
            </w:pPr>
          </w:p>
        </w:tc>
        <w:tc>
          <w:tcPr>
            <w:tcW w:w="1063" w:type="dxa"/>
            <w:noWrap/>
            <w:vAlign w:val="center"/>
          </w:tcPr>
          <w:p w14:paraId="1E7F10AB">
            <w:pPr>
              <w:snapToGrid w:val="0"/>
              <w:ind w:firstLine="0" w:firstLineChars="0"/>
              <w:jc w:val="right"/>
              <w:rPr>
                <w:rFonts w:ascii="宋体" w:hAnsi="宋体" w:cs="宋体"/>
                <w:color w:val="000000"/>
                <w:szCs w:val="21"/>
              </w:rPr>
            </w:pPr>
          </w:p>
        </w:tc>
        <w:tc>
          <w:tcPr>
            <w:tcW w:w="876" w:type="dxa"/>
            <w:noWrap/>
            <w:vAlign w:val="center"/>
          </w:tcPr>
          <w:p w14:paraId="22244808">
            <w:pPr>
              <w:snapToGrid w:val="0"/>
              <w:ind w:firstLine="0" w:firstLineChars="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w:t>
            </w:r>
          </w:p>
        </w:tc>
        <w:tc>
          <w:tcPr>
            <w:tcW w:w="876" w:type="dxa"/>
            <w:noWrap/>
            <w:vAlign w:val="center"/>
          </w:tcPr>
          <w:p w14:paraId="4E7D582E">
            <w:pPr>
              <w:snapToGrid w:val="0"/>
              <w:ind w:firstLine="0" w:firstLineChars="0"/>
              <w:jc w:val="right"/>
              <w:rPr>
                <w:rFonts w:ascii="宋体" w:hAnsi="宋体" w:cs="宋体"/>
                <w:color w:val="000000"/>
                <w:szCs w:val="21"/>
              </w:rPr>
            </w:pPr>
          </w:p>
        </w:tc>
      </w:tr>
      <w:tr w14:paraId="5CFA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3" w:type="dxa"/>
            <w:noWrap/>
            <w:vAlign w:val="center"/>
          </w:tcPr>
          <w:p w14:paraId="4A50F74A">
            <w:pPr>
              <w:snapToGrid w:val="0"/>
              <w:ind w:firstLine="0" w:firstLineChars="0"/>
              <w:jc w:val="center"/>
              <w:rPr>
                <w:rFonts w:ascii="宋体" w:hAnsi="宋体" w:cs="宋体"/>
                <w:color w:val="000000"/>
                <w:szCs w:val="21"/>
              </w:rPr>
            </w:pPr>
            <w:r>
              <w:rPr>
                <w:rFonts w:hint="eastAsia" w:ascii="宋体" w:hAnsi="宋体" w:cs="宋体"/>
                <w:color w:val="000000"/>
                <w:szCs w:val="21"/>
              </w:rPr>
              <w:t>2</w:t>
            </w:r>
          </w:p>
        </w:tc>
        <w:tc>
          <w:tcPr>
            <w:tcW w:w="1771" w:type="dxa"/>
            <w:vAlign w:val="center"/>
          </w:tcPr>
          <w:p w14:paraId="2279C0E3">
            <w:pPr>
              <w:snapToGrid w:val="0"/>
              <w:ind w:firstLine="0" w:firstLineChars="0"/>
              <w:jc w:val="center"/>
              <w:rPr>
                <w:rFonts w:ascii="宋体" w:hAnsi="宋体" w:cs="宋体"/>
                <w:color w:val="000000"/>
                <w:szCs w:val="21"/>
              </w:rPr>
            </w:pPr>
            <w:r>
              <w:rPr>
                <w:rFonts w:hint="eastAsia" w:ascii="宋体" w:hAnsi="宋体" w:eastAsia="Times New Roman" w:cs="宋体"/>
                <w:kern w:val="0"/>
                <w:szCs w:val="21"/>
              </w:rPr>
              <w:t>超融合企业级系统盘硬盘</w:t>
            </w:r>
          </w:p>
        </w:tc>
        <w:tc>
          <w:tcPr>
            <w:tcW w:w="650" w:type="dxa"/>
            <w:noWrap/>
            <w:vAlign w:val="center"/>
          </w:tcPr>
          <w:p w14:paraId="3647E89F">
            <w:pPr>
              <w:snapToGrid w:val="0"/>
              <w:ind w:firstLine="0" w:firstLineChars="0"/>
              <w:jc w:val="center"/>
              <w:rPr>
                <w:rFonts w:ascii="宋体" w:hAnsi="宋体" w:cs="宋体"/>
                <w:color w:val="000000"/>
                <w:szCs w:val="21"/>
              </w:rPr>
            </w:pPr>
            <w:r>
              <w:rPr>
                <w:rFonts w:hint="eastAsia" w:ascii="宋体" w:hAnsi="宋体" w:cs="宋体"/>
                <w:color w:val="000000"/>
                <w:szCs w:val="21"/>
              </w:rPr>
              <w:t>6</w:t>
            </w:r>
          </w:p>
        </w:tc>
        <w:tc>
          <w:tcPr>
            <w:tcW w:w="810" w:type="dxa"/>
            <w:noWrap/>
            <w:vAlign w:val="center"/>
          </w:tcPr>
          <w:p w14:paraId="50E39A5A">
            <w:pPr>
              <w:snapToGrid w:val="0"/>
              <w:ind w:firstLine="0" w:firstLineChars="0"/>
              <w:jc w:val="center"/>
              <w:rPr>
                <w:rFonts w:ascii="宋体" w:hAnsi="宋体" w:cs="宋体"/>
                <w:color w:val="000000"/>
                <w:szCs w:val="21"/>
              </w:rPr>
            </w:pPr>
            <w:r>
              <w:rPr>
                <w:rFonts w:hint="eastAsia" w:ascii="宋体" w:hAnsi="宋体" w:cs="宋体"/>
                <w:color w:val="000000"/>
                <w:szCs w:val="21"/>
              </w:rPr>
              <w:t>个</w:t>
            </w:r>
          </w:p>
        </w:tc>
        <w:tc>
          <w:tcPr>
            <w:tcW w:w="1503" w:type="dxa"/>
            <w:noWrap/>
            <w:vAlign w:val="center"/>
          </w:tcPr>
          <w:p w14:paraId="105E57D8">
            <w:pPr>
              <w:widowControl/>
              <w:ind w:firstLine="0" w:firstLineChars="0"/>
              <w:jc w:val="left"/>
              <w:rPr>
                <w:rFonts w:ascii="宋体" w:hAnsi="宋体" w:cs="宋体"/>
                <w:color w:val="000000"/>
                <w:szCs w:val="21"/>
              </w:rPr>
            </w:pPr>
          </w:p>
        </w:tc>
        <w:tc>
          <w:tcPr>
            <w:tcW w:w="1296" w:type="dxa"/>
            <w:noWrap/>
            <w:vAlign w:val="center"/>
          </w:tcPr>
          <w:p w14:paraId="639FEDEE">
            <w:pPr>
              <w:snapToGrid w:val="0"/>
              <w:ind w:firstLine="0" w:firstLineChars="0"/>
              <w:jc w:val="center"/>
              <w:rPr>
                <w:rFonts w:ascii="宋体" w:hAnsi="宋体" w:cs="宋体"/>
                <w:color w:val="000000"/>
                <w:szCs w:val="21"/>
              </w:rPr>
            </w:pPr>
          </w:p>
        </w:tc>
        <w:tc>
          <w:tcPr>
            <w:tcW w:w="1063" w:type="dxa"/>
            <w:noWrap/>
            <w:vAlign w:val="center"/>
          </w:tcPr>
          <w:p w14:paraId="6E1CD2C5">
            <w:pPr>
              <w:snapToGrid w:val="0"/>
              <w:ind w:firstLine="0" w:firstLineChars="0"/>
              <w:jc w:val="right"/>
              <w:rPr>
                <w:rFonts w:ascii="宋体" w:hAnsi="宋体" w:cs="宋体"/>
                <w:color w:val="000000"/>
                <w:szCs w:val="21"/>
              </w:rPr>
            </w:pPr>
          </w:p>
        </w:tc>
        <w:tc>
          <w:tcPr>
            <w:tcW w:w="876" w:type="dxa"/>
            <w:noWrap/>
            <w:vAlign w:val="center"/>
          </w:tcPr>
          <w:p w14:paraId="7A2DBADF">
            <w:pPr>
              <w:snapToGrid w:val="0"/>
              <w:ind w:firstLine="0" w:firstLineChars="0"/>
              <w:jc w:val="center"/>
              <w:rPr>
                <w:rFonts w:ascii="宋体" w:hAnsi="宋体" w:cs="宋体"/>
                <w:color w:val="000000"/>
                <w:szCs w:val="21"/>
              </w:rPr>
            </w:pPr>
            <w:r>
              <w:rPr>
                <w:rFonts w:hint="eastAsia" w:ascii="宋体" w:hAnsi="宋体" w:cs="宋体"/>
                <w:color w:val="000000"/>
                <w:szCs w:val="21"/>
                <w:lang w:val="en-US" w:eastAsia="zh-CN"/>
              </w:rPr>
              <w:t>13%</w:t>
            </w:r>
          </w:p>
        </w:tc>
        <w:tc>
          <w:tcPr>
            <w:tcW w:w="876" w:type="dxa"/>
            <w:noWrap/>
            <w:vAlign w:val="center"/>
          </w:tcPr>
          <w:p w14:paraId="1EB31587">
            <w:pPr>
              <w:snapToGrid w:val="0"/>
              <w:ind w:firstLine="0" w:firstLineChars="0"/>
              <w:jc w:val="right"/>
              <w:rPr>
                <w:rFonts w:ascii="宋体" w:hAnsi="宋体" w:cs="宋体"/>
                <w:color w:val="000000"/>
                <w:szCs w:val="21"/>
              </w:rPr>
            </w:pPr>
          </w:p>
        </w:tc>
      </w:tr>
      <w:tr w14:paraId="10D2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3" w:type="dxa"/>
            <w:noWrap/>
            <w:vAlign w:val="center"/>
          </w:tcPr>
          <w:p w14:paraId="188D4062">
            <w:pPr>
              <w:snapToGrid w:val="0"/>
              <w:ind w:firstLine="0" w:firstLineChars="0"/>
              <w:jc w:val="center"/>
              <w:rPr>
                <w:rFonts w:ascii="宋体" w:hAnsi="宋体" w:cs="宋体"/>
                <w:color w:val="000000"/>
                <w:szCs w:val="21"/>
              </w:rPr>
            </w:pPr>
            <w:r>
              <w:rPr>
                <w:rFonts w:hint="eastAsia" w:ascii="宋体" w:hAnsi="宋体" w:cs="宋体"/>
                <w:color w:val="000000"/>
                <w:szCs w:val="21"/>
              </w:rPr>
              <w:t>3</w:t>
            </w:r>
          </w:p>
        </w:tc>
        <w:tc>
          <w:tcPr>
            <w:tcW w:w="1771" w:type="dxa"/>
            <w:vAlign w:val="center"/>
          </w:tcPr>
          <w:p w14:paraId="4C4743C9">
            <w:pPr>
              <w:snapToGrid w:val="0"/>
              <w:ind w:firstLine="0" w:firstLineChars="0"/>
              <w:jc w:val="center"/>
              <w:rPr>
                <w:rFonts w:ascii="宋体" w:hAnsi="宋体" w:cs="宋体"/>
                <w:color w:val="000000"/>
                <w:szCs w:val="21"/>
              </w:rPr>
            </w:pPr>
            <w:r>
              <w:rPr>
                <w:rFonts w:hint="eastAsia" w:ascii="宋体" w:hAnsi="宋体" w:cs="宋体"/>
                <w:color w:val="000000"/>
                <w:szCs w:val="21"/>
              </w:rPr>
              <w:t>计算服务器虚拟化软件软件</w:t>
            </w:r>
          </w:p>
        </w:tc>
        <w:tc>
          <w:tcPr>
            <w:tcW w:w="650" w:type="dxa"/>
            <w:noWrap/>
            <w:vAlign w:val="center"/>
          </w:tcPr>
          <w:p w14:paraId="6EA04392">
            <w:pPr>
              <w:snapToGrid w:val="0"/>
              <w:ind w:firstLine="0" w:firstLineChars="0"/>
              <w:jc w:val="center"/>
              <w:rPr>
                <w:rFonts w:ascii="宋体" w:hAnsi="宋体" w:cs="宋体"/>
                <w:color w:val="000000"/>
                <w:szCs w:val="21"/>
              </w:rPr>
            </w:pPr>
            <w:r>
              <w:rPr>
                <w:rFonts w:hint="eastAsia" w:ascii="宋体" w:hAnsi="宋体" w:cs="宋体"/>
                <w:color w:val="000000"/>
                <w:szCs w:val="21"/>
              </w:rPr>
              <w:t>2</w:t>
            </w:r>
          </w:p>
        </w:tc>
        <w:tc>
          <w:tcPr>
            <w:tcW w:w="810" w:type="dxa"/>
            <w:noWrap/>
            <w:vAlign w:val="center"/>
          </w:tcPr>
          <w:p w14:paraId="50E8BDBE">
            <w:pPr>
              <w:snapToGrid w:val="0"/>
              <w:ind w:firstLine="0" w:firstLineChars="0"/>
              <w:jc w:val="center"/>
              <w:rPr>
                <w:rFonts w:ascii="宋体" w:hAnsi="宋体" w:cs="宋体"/>
                <w:color w:val="000000"/>
                <w:szCs w:val="21"/>
              </w:rPr>
            </w:pPr>
            <w:r>
              <w:rPr>
                <w:rFonts w:hint="eastAsia" w:ascii="宋体" w:hAnsi="宋体" w:cs="宋体"/>
                <w:color w:val="000000"/>
                <w:szCs w:val="21"/>
              </w:rPr>
              <w:t>个</w:t>
            </w:r>
          </w:p>
        </w:tc>
        <w:tc>
          <w:tcPr>
            <w:tcW w:w="1503" w:type="dxa"/>
            <w:noWrap/>
            <w:vAlign w:val="center"/>
          </w:tcPr>
          <w:p w14:paraId="46C197D2">
            <w:pPr>
              <w:widowControl/>
              <w:ind w:firstLine="0" w:firstLineChars="0"/>
              <w:jc w:val="left"/>
              <w:rPr>
                <w:rFonts w:ascii="宋体" w:hAnsi="宋体" w:cs="宋体"/>
                <w:color w:val="000000"/>
                <w:szCs w:val="21"/>
              </w:rPr>
            </w:pPr>
          </w:p>
        </w:tc>
        <w:tc>
          <w:tcPr>
            <w:tcW w:w="1296" w:type="dxa"/>
            <w:noWrap/>
            <w:vAlign w:val="center"/>
          </w:tcPr>
          <w:p w14:paraId="1CFFAD74">
            <w:pPr>
              <w:snapToGrid w:val="0"/>
              <w:ind w:firstLine="0" w:firstLineChars="0"/>
              <w:jc w:val="center"/>
              <w:rPr>
                <w:rFonts w:ascii="宋体" w:hAnsi="宋体" w:cs="宋体"/>
                <w:color w:val="000000"/>
                <w:szCs w:val="21"/>
              </w:rPr>
            </w:pPr>
          </w:p>
        </w:tc>
        <w:tc>
          <w:tcPr>
            <w:tcW w:w="1063" w:type="dxa"/>
            <w:noWrap/>
            <w:vAlign w:val="center"/>
          </w:tcPr>
          <w:p w14:paraId="04B4AD4D">
            <w:pPr>
              <w:snapToGrid w:val="0"/>
              <w:ind w:firstLine="0" w:firstLineChars="0"/>
              <w:jc w:val="right"/>
              <w:rPr>
                <w:rFonts w:ascii="宋体" w:hAnsi="宋体" w:cs="宋体"/>
                <w:color w:val="000000"/>
                <w:szCs w:val="21"/>
              </w:rPr>
            </w:pPr>
          </w:p>
        </w:tc>
        <w:tc>
          <w:tcPr>
            <w:tcW w:w="876" w:type="dxa"/>
            <w:noWrap/>
            <w:vAlign w:val="center"/>
          </w:tcPr>
          <w:p w14:paraId="3AE32885">
            <w:pPr>
              <w:snapToGrid w:val="0"/>
              <w:ind w:firstLine="0" w:firstLineChars="0"/>
              <w:jc w:val="center"/>
              <w:rPr>
                <w:rFonts w:ascii="宋体" w:hAnsi="宋体" w:cs="宋体"/>
                <w:color w:val="000000"/>
                <w:szCs w:val="21"/>
              </w:rPr>
            </w:pPr>
            <w:r>
              <w:rPr>
                <w:rFonts w:hint="eastAsia" w:ascii="宋体" w:hAnsi="宋体" w:cs="宋体"/>
                <w:color w:val="000000"/>
                <w:szCs w:val="21"/>
                <w:lang w:val="en-US" w:eastAsia="zh-CN"/>
              </w:rPr>
              <w:t>13%</w:t>
            </w:r>
          </w:p>
        </w:tc>
        <w:tc>
          <w:tcPr>
            <w:tcW w:w="876" w:type="dxa"/>
            <w:noWrap/>
            <w:vAlign w:val="center"/>
          </w:tcPr>
          <w:p w14:paraId="3551D141">
            <w:pPr>
              <w:snapToGrid w:val="0"/>
              <w:ind w:firstLine="0" w:firstLineChars="0"/>
              <w:jc w:val="right"/>
              <w:rPr>
                <w:rFonts w:ascii="宋体" w:hAnsi="宋体" w:cs="宋体"/>
                <w:color w:val="000000"/>
                <w:szCs w:val="21"/>
              </w:rPr>
            </w:pPr>
          </w:p>
        </w:tc>
      </w:tr>
      <w:tr w14:paraId="6238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3" w:type="dxa"/>
            <w:noWrap/>
            <w:vAlign w:val="center"/>
          </w:tcPr>
          <w:p w14:paraId="792C0A37">
            <w:pPr>
              <w:snapToGrid w:val="0"/>
              <w:ind w:firstLine="0" w:firstLineChars="0"/>
              <w:jc w:val="center"/>
              <w:rPr>
                <w:rFonts w:ascii="宋体" w:hAnsi="宋体" w:cs="宋体"/>
                <w:color w:val="000000"/>
                <w:szCs w:val="21"/>
              </w:rPr>
            </w:pPr>
            <w:r>
              <w:rPr>
                <w:rFonts w:hint="eastAsia" w:ascii="宋体" w:hAnsi="宋体" w:cs="宋体"/>
                <w:color w:val="000000"/>
                <w:szCs w:val="21"/>
              </w:rPr>
              <w:t>4</w:t>
            </w:r>
          </w:p>
        </w:tc>
        <w:tc>
          <w:tcPr>
            <w:tcW w:w="1771" w:type="dxa"/>
            <w:vAlign w:val="center"/>
          </w:tcPr>
          <w:p w14:paraId="59D89ED9">
            <w:pPr>
              <w:snapToGrid w:val="0"/>
              <w:ind w:firstLine="0" w:firstLineChars="0"/>
              <w:jc w:val="center"/>
              <w:rPr>
                <w:rFonts w:ascii="宋体" w:hAnsi="宋体" w:cs="宋体"/>
                <w:color w:val="000000"/>
                <w:szCs w:val="21"/>
              </w:rPr>
            </w:pPr>
            <w:r>
              <w:rPr>
                <w:rFonts w:hint="eastAsia" w:ascii="宋体" w:hAnsi="宋体" w:cs="宋体"/>
                <w:color w:val="000000"/>
                <w:szCs w:val="21"/>
              </w:rPr>
              <w:t>存储虚拟化软件</w:t>
            </w:r>
          </w:p>
        </w:tc>
        <w:tc>
          <w:tcPr>
            <w:tcW w:w="650" w:type="dxa"/>
            <w:noWrap/>
            <w:vAlign w:val="center"/>
          </w:tcPr>
          <w:p w14:paraId="6B2DAA79">
            <w:pPr>
              <w:snapToGrid w:val="0"/>
              <w:ind w:firstLine="0" w:firstLineChars="0"/>
              <w:jc w:val="center"/>
              <w:rPr>
                <w:rFonts w:ascii="宋体" w:hAnsi="宋体" w:cs="宋体"/>
                <w:color w:val="000000"/>
                <w:szCs w:val="21"/>
              </w:rPr>
            </w:pPr>
            <w:r>
              <w:rPr>
                <w:rFonts w:hint="eastAsia" w:ascii="宋体" w:hAnsi="宋体" w:cs="宋体"/>
                <w:color w:val="000000"/>
                <w:szCs w:val="21"/>
              </w:rPr>
              <w:t>2</w:t>
            </w:r>
          </w:p>
        </w:tc>
        <w:tc>
          <w:tcPr>
            <w:tcW w:w="810" w:type="dxa"/>
            <w:noWrap/>
            <w:vAlign w:val="center"/>
          </w:tcPr>
          <w:p w14:paraId="5E7FCB51">
            <w:pPr>
              <w:snapToGrid w:val="0"/>
              <w:ind w:firstLine="0" w:firstLineChars="0"/>
              <w:jc w:val="center"/>
              <w:rPr>
                <w:rFonts w:ascii="宋体" w:hAnsi="宋体" w:cs="宋体"/>
                <w:color w:val="000000"/>
                <w:szCs w:val="21"/>
              </w:rPr>
            </w:pPr>
            <w:r>
              <w:rPr>
                <w:rFonts w:hint="eastAsia" w:ascii="宋体" w:hAnsi="宋体" w:cs="宋体"/>
                <w:color w:val="000000"/>
                <w:szCs w:val="21"/>
              </w:rPr>
              <w:t>个</w:t>
            </w:r>
          </w:p>
        </w:tc>
        <w:tc>
          <w:tcPr>
            <w:tcW w:w="1503" w:type="dxa"/>
            <w:noWrap/>
            <w:vAlign w:val="center"/>
          </w:tcPr>
          <w:p w14:paraId="6E6E3076">
            <w:pPr>
              <w:widowControl/>
              <w:ind w:firstLine="420"/>
              <w:jc w:val="left"/>
              <w:rPr>
                <w:rFonts w:ascii="宋体" w:hAnsi="宋体" w:cs="宋体"/>
                <w:color w:val="000000"/>
                <w:szCs w:val="21"/>
              </w:rPr>
            </w:pPr>
          </w:p>
        </w:tc>
        <w:tc>
          <w:tcPr>
            <w:tcW w:w="1296" w:type="dxa"/>
            <w:noWrap/>
            <w:vAlign w:val="center"/>
          </w:tcPr>
          <w:p w14:paraId="79126E27">
            <w:pPr>
              <w:snapToGrid w:val="0"/>
              <w:ind w:firstLine="0" w:firstLineChars="0"/>
              <w:jc w:val="center"/>
              <w:rPr>
                <w:rFonts w:ascii="宋体" w:hAnsi="宋体" w:cs="宋体"/>
                <w:color w:val="000000"/>
                <w:szCs w:val="21"/>
              </w:rPr>
            </w:pPr>
          </w:p>
        </w:tc>
        <w:tc>
          <w:tcPr>
            <w:tcW w:w="1063" w:type="dxa"/>
            <w:noWrap/>
            <w:vAlign w:val="center"/>
          </w:tcPr>
          <w:p w14:paraId="26E7350B">
            <w:pPr>
              <w:snapToGrid w:val="0"/>
              <w:ind w:firstLine="0" w:firstLineChars="0"/>
              <w:jc w:val="right"/>
              <w:rPr>
                <w:rFonts w:ascii="宋体" w:hAnsi="宋体" w:cs="宋体"/>
                <w:color w:val="000000"/>
                <w:szCs w:val="21"/>
              </w:rPr>
            </w:pPr>
          </w:p>
        </w:tc>
        <w:tc>
          <w:tcPr>
            <w:tcW w:w="876" w:type="dxa"/>
            <w:noWrap/>
            <w:vAlign w:val="center"/>
          </w:tcPr>
          <w:p w14:paraId="26C886B9">
            <w:pPr>
              <w:snapToGrid w:val="0"/>
              <w:ind w:firstLine="0" w:firstLineChars="0"/>
              <w:jc w:val="center"/>
              <w:rPr>
                <w:rFonts w:ascii="宋体" w:hAnsi="宋体" w:cs="宋体"/>
                <w:color w:val="000000"/>
                <w:szCs w:val="21"/>
              </w:rPr>
            </w:pPr>
            <w:r>
              <w:rPr>
                <w:rFonts w:hint="eastAsia" w:ascii="宋体" w:hAnsi="宋体" w:cs="宋体"/>
                <w:color w:val="000000"/>
                <w:szCs w:val="21"/>
                <w:lang w:val="en-US" w:eastAsia="zh-CN"/>
              </w:rPr>
              <w:t>13%</w:t>
            </w:r>
          </w:p>
        </w:tc>
        <w:tc>
          <w:tcPr>
            <w:tcW w:w="876" w:type="dxa"/>
            <w:noWrap/>
            <w:vAlign w:val="center"/>
          </w:tcPr>
          <w:p w14:paraId="640651EE">
            <w:pPr>
              <w:snapToGrid w:val="0"/>
              <w:ind w:firstLine="0" w:firstLineChars="0"/>
              <w:jc w:val="right"/>
              <w:rPr>
                <w:rFonts w:ascii="宋体" w:hAnsi="宋体" w:cs="宋体"/>
                <w:color w:val="000000"/>
                <w:szCs w:val="21"/>
              </w:rPr>
            </w:pPr>
          </w:p>
        </w:tc>
      </w:tr>
      <w:tr w14:paraId="3C44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3" w:type="dxa"/>
            <w:noWrap/>
            <w:vAlign w:val="center"/>
          </w:tcPr>
          <w:p w14:paraId="2C35AFB1">
            <w:pPr>
              <w:snapToGrid w:val="0"/>
              <w:ind w:firstLine="0" w:firstLineChars="0"/>
              <w:jc w:val="center"/>
              <w:rPr>
                <w:rFonts w:ascii="宋体" w:hAnsi="宋体" w:cs="宋体"/>
                <w:color w:val="000000"/>
                <w:szCs w:val="21"/>
              </w:rPr>
            </w:pPr>
            <w:r>
              <w:rPr>
                <w:rFonts w:hint="eastAsia" w:ascii="宋体" w:hAnsi="宋体" w:cs="宋体"/>
                <w:color w:val="000000"/>
                <w:szCs w:val="21"/>
              </w:rPr>
              <w:t>5</w:t>
            </w:r>
          </w:p>
        </w:tc>
        <w:tc>
          <w:tcPr>
            <w:tcW w:w="1771" w:type="dxa"/>
            <w:vAlign w:val="center"/>
          </w:tcPr>
          <w:p w14:paraId="5E3186B9">
            <w:pPr>
              <w:snapToGrid w:val="0"/>
              <w:ind w:firstLine="0" w:firstLineChars="0"/>
              <w:jc w:val="center"/>
              <w:rPr>
                <w:rFonts w:ascii="宋体" w:hAnsi="宋体" w:cs="宋体"/>
                <w:color w:val="000000"/>
                <w:szCs w:val="21"/>
              </w:rPr>
            </w:pPr>
            <w:r>
              <w:rPr>
                <w:rFonts w:hint="eastAsia" w:ascii="宋体" w:hAnsi="宋体" w:cs="宋体"/>
                <w:color w:val="000000"/>
                <w:szCs w:val="21"/>
              </w:rPr>
              <w:t>网络虚拟化软件</w:t>
            </w:r>
          </w:p>
        </w:tc>
        <w:tc>
          <w:tcPr>
            <w:tcW w:w="650" w:type="dxa"/>
            <w:noWrap/>
            <w:vAlign w:val="center"/>
          </w:tcPr>
          <w:p w14:paraId="7CC0C089">
            <w:pPr>
              <w:snapToGrid w:val="0"/>
              <w:ind w:firstLine="0" w:firstLineChars="0"/>
              <w:jc w:val="center"/>
              <w:rPr>
                <w:rFonts w:ascii="宋体" w:hAnsi="宋体" w:cs="宋体"/>
                <w:color w:val="000000"/>
                <w:szCs w:val="21"/>
              </w:rPr>
            </w:pPr>
            <w:r>
              <w:rPr>
                <w:rFonts w:hint="eastAsia" w:ascii="宋体" w:hAnsi="宋体" w:cs="宋体"/>
                <w:color w:val="000000"/>
                <w:szCs w:val="21"/>
              </w:rPr>
              <w:t>2</w:t>
            </w:r>
          </w:p>
        </w:tc>
        <w:tc>
          <w:tcPr>
            <w:tcW w:w="810" w:type="dxa"/>
            <w:noWrap/>
            <w:vAlign w:val="center"/>
          </w:tcPr>
          <w:p w14:paraId="071DBA72">
            <w:pPr>
              <w:snapToGrid w:val="0"/>
              <w:ind w:firstLine="0" w:firstLineChars="0"/>
              <w:jc w:val="center"/>
              <w:rPr>
                <w:rFonts w:ascii="宋体" w:hAnsi="宋体" w:cs="宋体"/>
                <w:color w:val="000000"/>
                <w:szCs w:val="21"/>
              </w:rPr>
            </w:pPr>
            <w:r>
              <w:rPr>
                <w:rFonts w:hint="eastAsia" w:ascii="宋体" w:hAnsi="宋体" w:cs="宋体"/>
                <w:color w:val="000000"/>
                <w:szCs w:val="21"/>
              </w:rPr>
              <w:t>个</w:t>
            </w:r>
          </w:p>
        </w:tc>
        <w:tc>
          <w:tcPr>
            <w:tcW w:w="1503" w:type="dxa"/>
            <w:noWrap/>
            <w:vAlign w:val="center"/>
          </w:tcPr>
          <w:p w14:paraId="5D343E40">
            <w:pPr>
              <w:widowControl/>
              <w:ind w:firstLine="420"/>
              <w:jc w:val="left"/>
              <w:rPr>
                <w:rFonts w:ascii="宋体" w:hAnsi="宋体" w:cs="宋体"/>
                <w:color w:val="000000"/>
                <w:szCs w:val="21"/>
              </w:rPr>
            </w:pPr>
          </w:p>
        </w:tc>
        <w:tc>
          <w:tcPr>
            <w:tcW w:w="1296" w:type="dxa"/>
            <w:noWrap/>
            <w:vAlign w:val="center"/>
          </w:tcPr>
          <w:p w14:paraId="6A1B4D63">
            <w:pPr>
              <w:snapToGrid w:val="0"/>
              <w:ind w:firstLine="0" w:firstLineChars="0"/>
              <w:jc w:val="center"/>
              <w:rPr>
                <w:rFonts w:ascii="宋体" w:hAnsi="宋体" w:cs="宋体"/>
                <w:color w:val="000000"/>
                <w:szCs w:val="21"/>
              </w:rPr>
            </w:pPr>
          </w:p>
        </w:tc>
        <w:tc>
          <w:tcPr>
            <w:tcW w:w="1063" w:type="dxa"/>
            <w:noWrap/>
            <w:vAlign w:val="center"/>
          </w:tcPr>
          <w:p w14:paraId="1ABC0EE6">
            <w:pPr>
              <w:snapToGrid w:val="0"/>
              <w:ind w:firstLine="0" w:firstLineChars="0"/>
              <w:jc w:val="right"/>
              <w:rPr>
                <w:rFonts w:ascii="宋体" w:hAnsi="宋体" w:cs="宋体"/>
                <w:color w:val="000000"/>
                <w:szCs w:val="21"/>
              </w:rPr>
            </w:pPr>
          </w:p>
        </w:tc>
        <w:tc>
          <w:tcPr>
            <w:tcW w:w="876" w:type="dxa"/>
            <w:noWrap/>
            <w:vAlign w:val="center"/>
          </w:tcPr>
          <w:p w14:paraId="0D85EDC2">
            <w:pPr>
              <w:snapToGrid w:val="0"/>
              <w:ind w:firstLine="0" w:firstLineChars="0"/>
              <w:jc w:val="center"/>
              <w:rPr>
                <w:rFonts w:ascii="宋体" w:hAnsi="宋体" w:cs="宋体"/>
                <w:color w:val="000000"/>
                <w:szCs w:val="21"/>
              </w:rPr>
            </w:pPr>
            <w:r>
              <w:rPr>
                <w:rFonts w:hint="eastAsia" w:ascii="宋体" w:hAnsi="宋体" w:cs="宋体"/>
                <w:color w:val="000000"/>
                <w:szCs w:val="21"/>
                <w:lang w:val="en-US" w:eastAsia="zh-CN"/>
              </w:rPr>
              <w:t>13%</w:t>
            </w:r>
          </w:p>
        </w:tc>
        <w:tc>
          <w:tcPr>
            <w:tcW w:w="876" w:type="dxa"/>
            <w:noWrap/>
            <w:vAlign w:val="center"/>
          </w:tcPr>
          <w:p w14:paraId="0BCE16D3">
            <w:pPr>
              <w:snapToGrid w:val="0"/>
              <w:ind w:firstLine="0" w:firstLineChars="0"/>
              <w:jc w:val="right"/>
              <w:rPr>
                <w:rFonts w:ascii="宋体" w:hAnsi="宋体" w:cs="宋体"/>
                <w:color w:val="000000"/>
                <w:szCs w:val="21"/>
              </w:rPr>
            </w:pPr>
          </w:p>
        </w:tc>
      </w:tr>
      <w:tr w14:paraId="5051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3" w:type="dxa"/>
            <w:noWrap/>
            <w:vAlign w:val="center"/>
          </w:tcPr>
          <w:p w14:paraId="18DBA047">
            <w:pPr>
              <w:snapToGrid w:val="0"/>
              <w:ind w:firstLine="0" w:firstLineChars="0"/>
              <w:jc w:val="center"/>
              <w:rPr>
                <w:rFonts w:ascii="宋体" w:hAnsi="宋体" w:cs="宋体"/>
                <w:color w:val="000000"/>
                <w:szCs w:val="21"/>
              </w:rPr>
            </w:pPr>
            <w:r>
              <w:rPr>
                <w:rFonts w:hint="eastAsia" w:ascii="宋体" w:hAnsi="宋体" w:cs="宋体"/>
                <w:color w:val="000000"/>
                <w:szCs w:val="21"/>
              </w:rPr>
              <w:t>6</w:t>
            </w:r>
          </w:p>
        </w:tc>
        <w:tc>
          <w:tcPr>
            <w:tcW w:w="1771" w:type="dxa"/>
            <w:vAlign w:val="center"/>
          </w:tcPr>
          <w:p w14:paraId="62671F23">
            <w:pPr>
              <w:snapToGrid w:val="0"/>
              <w:ind w:firstLine="0" w:firstLineChars="0"/>
              <w:jc w:val="center"/>
              <w:rPr>
                <w:rFonts w:ascii="宋体" w:hAnsi="宋体" w:cs="宋体"/>
                <w:color w:val="000000"/>
                <w:szCs w:val="21"/>
              </w:rPr>
            </w:pPr>
            <w:r>
              <w:rPr>
                <w:rFonts w:hint="eastAsia" w:ascii="宋体" w:hAnsi="宋体" w:cs="宋体"/>
                <w:color w:val="000000"/>
                <w:szCs w:val="21"/>
              </w:rPr>
              <w:t>超融合及容灾平台升级服务</w:t>
            </w:r>
          </w:p>
        </w:tc>
        <w:tc>
          <w:tcPr>
            <w:tcW w:w="650" w:type="dxa"/>
            <w:noWrap/>
            <w:vAlign w:val="center"/>
          </w:tcPr>
          <w:p w14:paraId="23BD01BE">
            <w:pPr>
              <w:snapToGrid w:val="0"/>
              <w:ind w:firstLine="0" w:firstLineChars="0"/>
              <w:jc w:val="center"/>
              <w:rPr>
                <w:rFonts w:ascii="宋体" w:hAnsi="宋体" w:cs="宋体"/>
                <w:color w:val="000000"/>
                <w:szCs w:val="21"/>
              </w:rPr>
            </w:pPr>
            <w:r>
              <w:rPr>
                <w:rFonts w:hint="eastAsia" w:ascii="宋体" w:hAnsi="宋体" w:cs="宋体"/>
                <w:color w:val="000000"/>
                <w:szCs w:val="21"/>
              </w:rPr>
              <w:t>1</w:t>
            </w:r>
          </w:p>
        </w:tc>
        <w:tc>
          <w:tcPr>
            <w:tcW w:w="810" w:type="dxa"/>
            <w:noWrap/>
            <w:vAlign w:val="center"/>
          </w:tcPr>
          <w:p w14:paraId="1B5932EF">
            <w:pPr>
              <w:snapToGrid w:val="0"/>
              <w:ind w:firstLine="0" w:firstLineChars="0"/>
              <w:jc w:val="center"/>
              <w:rPr>
                <w:rFonts w:ascii="宋体" w:hAnsi="宋体" w:cs="宋体"/>
                <w:color w:val="000000"/>
                <w:szCs w:val="21"/>
              </w:rPr>
            </w:pPr>
            <w:r>
              <w:rPr>
                <w:rFonts w:hint="eastAsia" w:ascii="宋体" w:hAnsi="宋体" w:cs="宋体"/>
                <w:color w:val="000000"/>
                <w:szCs w:val="21"/>
              </w:rPr>
              <w:t>项</w:t>
            </w:r>
          </w:p>
        </w:tc>
        <w:tc>
          <w:tcPr>
            <w:tcW w:w="1503" w:type="dxa"/>
            <w:noWrap/>
            <w:vAlign w:val="center"/>
          </w:tcPr>
          <w:p w14:paraId="6BAE5BC5">
            <w:pPr>
              <w:widowControl/>
              <w:ind w:firstLine="0" w:firstLineChars="0"/>
              <w:jc w:val="left"/>
              <w:rPr>
                <w:rFonts w:ascii="宋体" w:hAnsi="宋体" w:cs="宋体"/>
                <w:color w:val="000000"/>
                <w:szCs w:val="21"/>
              </w:rPr>
            </w:pPr>
          </w:p>
        </w:tc>
        <w:tc>
          <w:tcPr>
            <w:tcW w:w="1296" w:type="dxa"/>
            <w:noWrap/>
            <w:vAlign w:val="center"/>
          </w:tcPr>
          <w:p w14:paraId="63E4E742">
            <w:pPr>
              <w:snapToGrid w:val="0"/>
              <w:ind w:firstLine="0" w:firstLineChars="0"/>
              <w:jc w:val="center"/>
              <w:rPr>
                <w:rFonts w:ascii="宋体" w:hAnsi="宋体" w:cs="宋体"/>
                <w:color w:val="000000"/>
                <w:szCs w:val="21"/>
              </w:rPr>
            </w:pPr>
          </w:p>
        </w:tc>
        <w:tc>
          <w:tcPr>
            <w:tcW w:w="1063" w:type="dxa"/>
            <w:noWrap/>
            <w:vAlign w:val="center"/>
          </w:tcPr>
          <w:p w14:paraId="7ACD88A9">
            <w:pPr>
              <w:snapToGrid w:val="0"/>
              <w:ind w:firstLine="0" w:firstLineChars="0"/>
              <w:jc w:val="right"/>
              <w:rPr>
                <w:rFonts w:ascii="宋体" w:hAnsi="宋体" w:cs="宋体"/>
                <w:color w:val="000000"/>
                <w:szCs w:val="21"/>
              </w:rPr>
            </w:pPr>
          </w:p>
        </w:tc>
        <w:tc>
          <w:tcPr>
            <w:tcW w:w="876" w:type="dxa"/>
            <w:noWrap/>
            <w:vAlign w:val="center"/>
          </w:tcPr>
          <w:p w14:paraId="0473EB73">
            <w:pPr>
              <w:snapToGrid w:val="0"/>
              <w:ind w:firstLine="0" w:firstLineChars="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w:t>
            </w:r>
          </w:p>
        </w:tc>
        <w:tc>
          <w:tcPr>
            <w:tcW w:w="876" w:type="dxa"/>
            <w:noWrap/>
            <w:vAlign w:val="center"/>
          </w:tcPr>
          <w:p w14:paraId="42DCB31E">
            <w:pPr>
              <w:snapToGrid w:val="0"/>
              <w:ind w:firstLine="0" w:firstLineChars="0"/>
              <w:jc w:val="right"/>
              <w:rPr>
                <w:rFonts w:ascii="宋体" w:hAnsi="宋体" w:cs="宋体"/>
                <w:color w:val="000000"/>
                <w:szCs w:val="21"/>
              </w:rPr>
            </w:pPr>
          </w:p>
        </w:tc>
      </w:tr>
      <w:tr w14:paraId="4CA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377" w:type="dxa"/>
            <w:gridSpan w:val="5"/>
            <w:noWrap/>
            <w:vAlign w:val="center"/>
          </w:tcPr>
          <w:p w14:paraId="3F70F6C1">
            <w:pPr>
              <w:snapToGrid w:val="0"/>
              <w:ind w:firstLine="0" w:firstLineChars="0"/>
              <w:jc w:val="center"/>
              <w:rPr>
                <w:rFonts w:ascii="宋体" w:hAnsi="宋体" w:cs="宋体"/>
                <w:color w:val="000000"/>
                <w:szCs w:val="21"/>
              </w:rPr>
            </w:pPr>
            <w:r>
              <w:rPr>
                <w:rFonts w:hAnsi="宋体" w:eastAsia="Times New Roman"/>
                <w:b/>
                <w:szCs w:val="21"/>
              </w:rPr>
              <w:t>投标</w:t>
            </w:r>
            <w:r>
              <w:rPr>
                <w:rFonts w:hint="eastAsia" w:hAnsi="宋体" w:eastAsia="Times New Roman"/>
                <w:b/>
                <w:szCs w:val="21"/>
              </w:rPr>
              <w:t>报价（含税）</w:t>
            </w:r>
          </w:p>
        </w:tc>
        <w:tc>
          <w:tcPr>
            <w:tcW w:w="4111" w:type="dxa"/>
            <w:gridSpan w:val="4"/>
            <w:noWrap/>
            <w:vAlign w:val="center"/>
          </w:tcPr>
          <w:p w14:paraId="47D20D59">
            <w:pPr>
              <w:snapToGrid w:val="0"/>
              <w:ind w:firstLine="0" w:firstLineChars="0"/>
              <w:jc w:val="right"/>
              <w:rPr>
                <w:rFonts w:ascii="宋体" w:hAnsi="宋体" w:cs="宋体"/>
                <w:color w:val="000000"/>
                <w:szCs w:val="21"/>
              </w:rPr>
            </w:pPr>
          </w:p>
        </w:tc>
      </w:tr>
    </w:tbl>
    <w:p w14:paraId="7822B8A2">
      <w:pPr>
        <w:ind w:firstLine="0" w:firstLineChars="0"/>
      </w:pPr>
      <w:r>
        <w:rPr>
          <w:rFonts w:hint="eastAsia"/>
        </w:rPr>
        <w:t xml:space="preserve"> 备注：</w:t>
      </w:r>
    </w:p>
    <w:p w14:paraId="6287E0B4">
      <w:pPr>
        <w:widowControl/>
        <w:numPr>
          <w:ilvl w:val="0"/>
          <w:numId w:val="12"/>
        </w:numPr>
        <w:adjustRightInd w:val="0"/>
        <w:snapToGrid w:val="0"/>
        <w:ind w:firstLine="840" w:firstLineChars="400"/>
      </w:pPr>
      <w:r>
        <w:rPr>
          <w:rFonts w:hint="eastAsia"/>
        </w:rPr>
        <w:t>投标分项报价表中的每一子目须填入价格，且只允许有一个报价。</w:t>
      </w:r>
    </w:p>
    <w:p w14:paraId="63183707">
      <w:pPr>
        <w:widowControl/>
        <w:numPr>
          <w:ilvl w:val="0"/>
          <w:numId w:val="12"/>
        </w:numPr>
        <w:adjustRightInd w:val="0"/>
        <w:snapToGrid w:val="0"/>
        <w:ind w:firstLine="840" w:firstLineChars="400"/>
      </w:pPr>
      <w:r>
        <w:rPr>
          <w:rFonts w:hint="eastAsia"/>
        </w:rPr>
        <w:t>投标人应充分了解本项目的相关规定，在投标报价中充分考虑此类因素。</w:t>
      </w:r>
    </w:p>
    <w:p w14:paraId="2A6D5AFA">
      <w:pPr>
        <w:widowControl/>
        <w:numPr>
          <w:ilvl w:val="0"/>
          <w:numId w:val="12"/>
        </w:numPr>
        <w:adjustRightInd w:val="0"/>
        <w:snapToGrid w:val="0"/>
        <w:ind w:firstLine="840" w:firstLineChars="400"/>
      </w:pPr>
      <w:r>
        <w:rPr>
          <w:rFonts w:hint="eastAsia"/>
        </w:rPr>
        <w:t>此处的投标总价应与 “投标报价一览表”中投标总价相一致。</w:t>
      </w:r>
    </w:p>
    <w:p w14:paraId="01753396">
      <w:pPr>
        <w:widowControl/>
        <w:adjustRightInd w:val="0"/>
        <w:snapToGrid w:val="0"/>
        <w:ind w:firstLine="840" w:firstLineChars="400"/>
      </w:pPr>
      <w:r>
        <w:rPr>
          <w:rFonts w:hint="eastAsia"/>
        </w:rPr>
        <w:t>★4、</w:t>
      </w:r>
      <w:r>
        <w:rPr>
          <w:rFonts w:hint="eastAsia"/>
          <w:b/>
          <w:bCs/>
        </w:rPr>
        <w:t>不提供此表将被视为未实质性响应投标文件。</w:t>
      </w:r>
    </w:p>
    <w:p w14:paraId="1910C2FA">
      <w:pPr>
        <w:pStyle w:val="43"/>
      </w:pPr>
    </w:p>
    <w:p w14:paraId="67A1C979">
      <w:pPr>
        <w:snapToGrid w:val="0"/>
        <w:ind w:firstLine="420"/>
        <w:rPr>
          <w:rFonts w:ascii="宋体" w:hAnsi="宋体" w:cs="宋体"/>
          <w:szCs w:val="21"/>
        </w:rPr>
      </w:pPr>
    </w:p>
    <w:p w14:paraId="313D9998">
      <w:pPr>
        <w:snapToGrid w:val="0"/>
        <w:ind w:firstLine="420"/>
        <w:rPr>
          <w:rFonts w:ascii="宋体" w:hAnsi="宋体" w:cs="宋体"/>
          <w:szCs w:val="21"/>
        </w:rPr>
      </w:pPr>
      <w:r>
        <w:rPr>
          <w:rFonts w:hint="eastAsia" w:ascii="宋体" w:hAnsi="宋体" w:cs="宋体"/>
          <w:szCs w:val="21"/>
        </w:rPr>
        <w:t>投标人名称(公章):___________________</w:t>
      </w:r>
    </w:p>
    <w:p w14:paraId="2A76E310">
      <w:pPr>
        <w:snapToGrid w:val="0"/>
        <w:ind w:firstLine="420"/>
        <w:rPr>
          <w:rFonts w:ascii="宋体" w:hAnsi="宋体" w:cs="宋体"/>
          <w:szCs w:val="21"/>
        </w:rPr>
      </w:pPr>
      <w:r>
        <w:rPr>
          <w:rFonts w:hint="eastAsia" w:ascii="宋体" w:hAnsi="宋体" w:cs="宋体"/>
          <w:szCs w:val="21"/>
        </w:rPr>
        <w:t xml:space="preserve">法定代表人或授权代表（签字或盖章）:___________                      </w:t>
      </w:r>
    </w:p>
    <w:p w14:paraId="5F167E3C">
      <w:pPr>
        <w:snapToGrid w:val="0"/>
        <w:ind w:firstLine="420"/>
        <w:rPr>
          <w:rFonts w:ascii="宋体" w:hAnsi="宋体" w:cs="宋体"/>
          <w:szCs w:val="21"/>
        </w:rPr>
        <w:sectPr>
          <w:pgSz w:w="11906" w:h="16838"/>
          <w:pgMar w:top="1440" w:right="1558" w:bottom="1440" w:left="1800" w:header="851" w:footer="992" w:gutter="0"/>
          <w:cols w:space="720" w:num="1"/>
          <w:docGrid w:type="lines" w:linePitch="312" w:charSpace="0"/>
        </w:sectPr>
      </w:pPr>
      <w:r>
        <w:rPr>
          <w:rFonts w:hint="eastAsia" w:ascii="宋体" w:hAnsi="宋体" w:cs="宋体"/>
          <w:szCs w:val="21"/>
        </w:rPr>
        <w:t>日期:_____年___月___日</w:t>
      </w:r>
    </w:p>
    <w:p w14:paraId="7F05AB63">
      <w:pPr>
        <w:ind w:firstLine="0" w:firstLineChars="0"/>
      </w:pPr>
      <w:r>
        <w:rPr>
          <w:rFonts w:hint="eastAsia"/>
          <w:b/>
          <w:bCs/>
        </w:rPr>
        <w:t>3</w:t>
      </w:r>
      <w:r>
        <w:rPr>
          <w:b/>
          <w:bCs/>
        </w:rPr>
        <w:t>. 投标人针对报价需要说明的其他文件和说明（格式自拟）。</w:t>
      </w:r>
    </w:p>
    <w:p w14:paraId="0D23A456">
      <w:pPr>
        <w:snapToGrid w:val="0"/>
        <w:spacing w:before="50" w:after="50"/>
        <w:ind w:left="-23" w:leftChars="-11" w:right="-113" w:rightChars="-54" w:firstLine="21" w:firstLineChars="10"/>
        <w:rPr>
          <w:szCs w:val="21"/>
        </w:rPr>
      </w:pPr>
    </w:p>
    <w:sectPr>
      <w:pgSz w:w="11906" w:h="16838"/>
      <w:pgMar w:top="1440" w:right="1558"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AE96BA-6812-44F4-BEB5-97373B6BE3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20494D-45E8-4F9E-B4D0-7E191745288B}"/>
  </w:font>
  <w:font w:name="仿宋_GB2312">
    <w:panose1 w:val="02010609030101010101"/>
    <w:charset w:val="86"/>
    <w:family w:val="modern"/>
    <w:pitch w:val="default"/>
    <w:sig w:usb0="00000001" w:usb1="080E0000" w:usb2="00000000" w:usb3="00000000" w:csb0="00040000" w:csb1="00000000"/>
    <w:embedRegular r:id="rId3" w:fontKey="{7A676904-DCB0-49BA-B47F-E1BC798C7ACA}"/>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iti T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书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4FC241DF-B453-4D03-95F1-91DF38BF3D85}"/>
  </w:font>
  <w:font w:name="新宋体">
    <w:panose1 w:val="02010609030101010101"/>
    <w:charset w:val="86"/>
    <w:family w:val="modern"/>
    <w:pitch w:val="default"/>
    <w:sig w:usb0="00000203" w:usb1="288F0000" w:usb2="00000006" w:usb3="00000000" w:csb0="00040001" w:csb1="00000000"/>
    <w:embedRegular r:id="rId5" w:fontKey="{18B58DCD-AF03-4D73-A968-AF99EE186305}"/>
  </w:font>
  <w:font w:name="方正小标宋简体">
    <w:altName w:val="黑体"/>
    <w:panose1 w:val="00000000000000000000"/>
    <w:charset w:val="86"/>
    <w:family w:val="auto"/>
    <w:pitch w:val="default"/>
    <w:sig w:usb0="00000000" w:usb1="00000000" w:usb2="00000000" w:usb3="00000000" w:csb0="00040000" w:csb1="00000000"/>
    <w:embedRegular r:id="rId6" w:fontKey="{CD23EF58-614B-43D6-904C-D9786A1472D3}"/>
  </w:font>
  <w:font w:name="WPSEMBED1">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6D6B">
    <w:pPr>
      <w:pStyle w:val="29"/>
      <w:tabs>
        <w:tab w:val="clear" w:pos="8306"/>
      </w:tabs>
      <w:ind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09606">
                          <w:pPr>
                            <w:pStyle w:val="29"/>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a:spAutoFit/>
                    </wps:bodyPr>
                  </wps:wsp>
                </a:graphicData>
              </a:graphic>
            </wp:anchor>
          </w:drawing>
        </mc:Choice>
        <mc:Fallback>
          <w:pict>
            <v:shape id="文本框 1025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fOV8DFAQAAkQMAAA4AAAAAAAAAAQAgAAAAHgEAAGRycy9lMm9Eb2MueG1s&#10;UEsFBgAAAAAGAAYAWQEAAFUFAAAAAA==&#10;">
              <v:fill on="f" focussize="0,0"/>
              <v:stroke on="f"/>
              <v:imagedata o:title=""/>
              <o:lock v:ext="edit" aspectratio="f"/>
              <v:textbox inset="0mm,0mm,0mm,0mm" style="mso-fit-shape-to-text:t;">
                <w:txbxContent>
                  <w:p w14:paraId="4D509606">
                    <w:pPr>
                      <w:pStyle w:val="29"/>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r>
      <w:rPr>
        <w:rFonts w:hint="eastAsia"/>
      </w:rPr>
      <w:tab/>
    </w:r>
  </w:p>
  <w:p w14:paraId="57159804">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9F10">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528A">
    <w:pPr>
      <w:pStyle w:val="29"/>
      <w:ind w:firstLine="360"/>
      <w:jc w:val="center"/>
    </w:pPr>
  </w:p>
  <w:p w14:paraId="3DD87275">
    <w:pPr>
      <w:pStyle w:val="2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F7E0">
    <w:pPr>
      <w:pStyle w:val="2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A08C5">
                          <w:pPr>
                            <w:pStyle w:val="29"/>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uTRdwBAADAAwAADgAAAGRycy9lMm9Eb2MueG1srVPNjtMwEL4j8Q6W&#10;7zTZSou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6JuTRdwBAADAAwAADgAAAAAAAAAB&#10;ACAAAAAeAQAAZHJzL2Uyb0RvYy54bWxQSwUGAAAAAAYABgBZAQAAbAUAAAAA&#10;">
              <v:fill on="f" focussize="0,0"/>
              <v:stroke on="f"/>
              <v:imagedata o:title=""/>
              <o:lock v:ext="edit" aspectratio="f"/>
              <v:textbox inset="0mm,0mm,0mm,0mm" style="mso-fit-shape-to-text:t;">
                <w:txbxContent>
                  <w:p w14:paraId="1CEA08C5">
                    <w:pPr>
                      <w:pStyle w:val="29"/>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85B6">
    <w:pPr>
      <w:pStyle w:val="29"/>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B7BB0">
                          <w:pPr>
                            <w:pStyle w:val="29"/>
                            <w:ind w:firstLine="360"/>
                            <w:jc w:val="center"/>
                          </w:pPr>
                          <w:r>
                            <w:fldChar w:fldCharType="begin"/>
                          </w:r>
                          <w:r>
                            <w:instrText xml:space="preserve"> PAGE   \* MERGEFORMAT </w:instrText>
                          </w:r>
                          <w:r>
                            <w:fldChar w:fldCharType="separate"/>
                          </w:r>
                          <w:r>
                            <w:rPr>
                              <w:lang w:val="zh-CN"/>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4AB7BB0">
                    <w:pPr>
                      <w:pStyle w:val="29"/>
                      <w:ind w:firstLine="360"/>
                      <w:jc w:val="center"/>
                    </w:pPr>
                    <w:r>
                      <w:fldChar w:fldCharType="begin"/>
                    </w:r>
                    <w:r>
                      <w:instrText xml:space="preserve"> PAGE   \* MERGEFORMAT </w:instrText>
                    </w:r>
                    <w:r>
                      <w:fldChar w:fldCharType="separate"/>
                    </w:r>
                    <w:r>
                      <w:rPr>
                        <w:lang w:val="zh-CN"/>
                      </w:rPr>
                      <w:t>52</w:t>
                    </w:r>
                    <w:r>
                      <w:fldChar w:fldCharType="end"/>
                    </w:r>
                  </w:p>
                </w:txbxContent>
              </v:textbox>
            </v:shape>
          </w:pict>
        </mc:Fallback>
      </mc:AlternateContent>
    </w:r>
    <w:r>
      <w:rPr>
        <w:rFonts w:hint="eastAsia"/>
      </w:rPr>
      <w:t xml:space="preserve">  </w:t>
    </w:r>
  </w:p>
  <w:p w14:paraId="6A5691F4">
    <w:pPr>
      <w:ind w:firstLine="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8D66">
    <w:pPr>
      <w:snapToGrid w:val="0"/>
      <w:ind w:firstLine="360"/>
      <w:jc w:val="center"/>
      <w:rPr>
        <w:rFonts w:eastAsia="黑体"/>
        <w:kern w:val="0"/>
        <w:sz w:val="18"/>
        <w:szCs w:val="18"/>
      </w:rPr>
    </w:pPr>
    <w:r>
      <w:rPr>
        <w:rFonts w:eastAsia="黑体"/>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E1D1E">
                          <w:pPr>
                            <w:snapToGrid w:val="0"/>
                            <w:ind w:firstLine="360"/>
                            <w:jc w:val="center"/>
                            <w:rPr>
                              <w:rFonts w:eastAsia="黑体"/>
                              <w:kern w:val="0"/>
                              <w:sz w:val="18"/>
                              <w:szCs w:val="18"/>
                            </w:rPr>
                          </w:pPr>
                          <w:r>
                            <w:rPr>
                              <w:rFonts w:eastAsia="黑体"/>
                              <w:kern w:val="0"/>
                              <w:sz w:val="18"/>
                              <w:szCs w:val="18"/>
                            </w:rPr>
                            <w:fldChar w:fldCharType="begin"/>
                          </w:r>
                          <w:r>
                            <w:rPr>
                              <w:rFonts w:eastAsia="黑体"/>
                              <w:kern w:val="0"/>
                              <w:sz w:val="18"/>
                              <w:szCs w:val="18"/>
                            </w:rPr>
                            <w:instrText xml:space="preserve"> PAGE   \* MERGEFORMAT </w:instrText>
                          </w:r>
                          <w:r>
                            <w:rPr>
                              <w:rFonts w:eastAsia="黑体"/>
                              <w:kern w:val="0"/>
                              <w:sz w:val="18"/>
                              <w:szCs w:val="18"/>
                            </w:rPr>
                            <w:fldChar w:fldCharType="separate"/>
                          </w:r>
                          <w:r>
                            <w:rPr>
                              <w:rFonts w:eastAsia="黑体"/>
                              <w:kern w:val="0"/>
                              <w:sz w:val="18"/>
                              <w:szCs w:val="18"/>
                              <w:lang w:val="zh-CN"/>
                            </w:rPr>
                            <w:t>52</w:t>
                          </w:r>
                          <w:r>
                            <w:rPr>
                              <w:rFonts w:eastAsia="黑体"/>
                              <w:kern w:val="0"/>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76E1D1E">
                    <w:pPr>
                      <w:snapToGrid w:val="0"/>
                      <w:ind w:firstLine="360"/>
                      <w:jc w:val="center"/>
                      <w:rPr>
                        <w:rFonts w:eastAsia="黑体"/>
                        <w:kern w:val="0"/>
                        <w:sz w:val="18"/>
                        <w:szCs w:val="18"/>
                      </w:rPr>
                    </w:pPr>
                    <w:r>
                      <w:rPr>
                        <w:rFonts w:eastAsia="黑体"/>
                        <w:kern w:val="0"/>
                        <w:sz w:val="18"/>
                        <w:szCs w:val="18"/>
                      </w:rPr>
                      <w:fldChar w:fldCharType="begin"/>
                    </w:r>
                    <w:r>
                      <w:rPr>
                        <w:rFonts w:eastAsia="黑体"/>
                        <w:kern w:val="0"/>
                        <w:sz w:val="18"/>
                        <w:szCs w:val="18"/>
                      </w:rPr>
                      <w:instrText xml:space="preserve"> PAGE   \* MERGEFORMAT </w:instrText>
                    </w:r>
                    <w:r>
                      <w:rPr>
                        <w:rFonts w:eastAsia="黑体"/>
                        <w:kern w:val="0"/>
                        <w:sz w:val="18"/>
                        <w:szCs w:val="18"/>
                      </w:rPr>
                      <w:fldChar w:fldCharType="separate"/>
                    </w:r>
                    <w:r>
                      <w:rPr>
                        <w:rFonts w:eastAsia="黑体"/>
                        <w:kern w:val="0"/>
                        <w:sz w:val="18"/>
                        <w:szCs w:val="18"/>
                        <w:lang w:val="zh-CN"/>
                      </w:rPr>
                      <w:t>52</w:t>
                    </w:r>
                    <w:r>
                      <w:rPr>
                        <w:rFonts w:eastAsia="黑体"/>
                        <w:kern w:val="0"/>
                        <w:sz w:val="18"/>
                        <w:szCs w:val="18"/>
                      </w:rPr>
                      <w:fldChar w:fldCharType="end"/>
                    </w:r>
                  </w:p>
                </w:txbxContent>
              </v:textbox>
            </v:shape>
          </w:pict>
        </mc:Fallback>
      </mc:AlternateContent>
    </w:r>
    <w:r>
      <w:rPr>
        <w:rFonts w:hint="eastAsia" w:eastAsia="黑体"/>
        <w:kern w:val="0"/>
        <w:sz w:val="18"/>
        <w:szCs w:val="18"/>
      </w:rPr>
      <w:t xml:space="preserve">  </w:t>
    </w:r>
  </w:p>
  <w:p w14:paraId="64D4E267">
    <w:pPr>
      <w:ind w:firstLine="4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C0259">
    <w:pPr>
      <w:pStyle w:val="29"/>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26FAC">
                          <w:pPr>
                            <w:pStyle w:val="29"/>
                            <w:ind w:firstLine="360"/>
                            <w:jc w:val="center"/>
                          </w:pPr>
                          <w:r>
                            <w:fldChar w:fldCharType="begin"/>
                          </w:r>
                          <w:r>
                            <w:instrText xml:space="preserve"> PAGE   \* MERGEFORMAT </w:instrText>
                          </w:r>
                          <w:r>
                            <w:fldChar w:fldCharType="separate"/>
                          </w:r>
                          <w:r>
                            <w:rPr>
                              <w:lang w:val="zh-CN"/>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D326FAC">
                    <w:pPr>
                      <w:pStyle w:val="29"/>
                      <w:ind w:firstLine="360"/>
                      <w:jc w:val="center"/>
                    </w:pPr>
                    <w:r>
                      <w:fldChar w:fldCharType="begin"/>
                    </w:r>
                    <w:r>
                      <w:instrText xml:space="preserve"> PAGE   \* MERGEFORMAT </w:instrText>
                    </w:r>
                    <w:r>
                      <w:fldChar w:fldCharType="separate"/>
                    </w:r>
                    <w:r>
                      <w:rPr>
                        <w:lang w:val="zh-CN"/>
                      </w:rPr>
                      <w:t>52</w:t>
                    </w:r>
                    <w:r>
                      <w:fldChar w:fldCharType="end"/>
                    </w:r>
                  </w:p>
                </w:txbxContent>
              </v:textbox>
            </v:shape>
          </w:pict>
        </mc:Fallback>
      </mc:AlternateContent>
    </w:r>
    <w:r>
      <w:rPr>
        <w:rFonts w:hint="eastAsia"/>
      </w:rPr>
      <w:t xml:space="preserve">  </w:t>
    </w:r>
  </w:p>
  <w:p w14:paraId="4AA0A43E">
    <w:pPr>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D28D">
    <w:pPr>
      <w:pStyle w:val="3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A6D1">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4D8B">
    <w:pPr>
      <w:pStyle w:val="3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B80E">
    <w:pPr>
      <w:pStyle w:val="30"/>
      <w:pBdr>
        <w:bottom w:val="none" w:color="auto" w:sz="0" w:space="0"/>
      </w:pBdr>
      <w:ind w:firstLine="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FEFC">
    <w:pPr>
      <w:snapToGrid w:val="0"/>
      <w:ind w:firstLine="360"/>
      <w:rPr>
        <w:rFonts w:eastAsia="仿宋_GB2312"/>
        <w:kern w:val="0"/>
        <w:sz w:val="18"/>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6561">
    <w:pPr>
      <w:pStyle w:val="30"/>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E5FDD"/>
    <w:multiLevelType w:val="singleLevel"/>
    <w:tmpl w:val="A3CE5FDD"/>
    <w:lvl w:ilvl="0" w:tentative="0">
      <w:start w:val="1"/>
      <w:numFmt w:val="chineseCounting"/>
      <w:suff w:val="nothing"/>
      <w:lvlText w:val="%1、"/>
      <w:lvlJc w:val="left"/>
      <w:rPr>
        <w:rFonts w:hint="eastAsia"/>
      </w:rPr>
    </w:lvl>
  </w:abstractNum>
  <w:abstractNum w:abstractNumId="1">
    <w:nsid w:val="B428643F"/>
    <w:multiLevelType w:val="singleLevel"/>
    <w:tmpl w:val="B428643F"/>
    <w:lvl w:ilvl="0" w:tentative="0">
      <w:start w:val="4"/>
      <w:numFmt w:val="decimal"/>
      <w:suff w:val="space"/>
      <w:lvlText w:val="%1."/>
      <w:lvlJc w:val="left"/>
    </w:lvl>
  </w:abstractNum>
  <w:abstractNum w:abstractNumId="2">
    <w:nsid w:val="BAB8061C"/>
    <w:multiLevelType w:val="singleLevel"/>
    <w:tmpl w:val="BAB8061C"/>
    <w:lvl w:ilvl="0" w:tentative="0">
      <w:start w:val="6"/>
      <w:numFmt w:val="chineseCounting"/>
      <w:suff w:val="space"/>
      <w:lvlText w:val="第%1章"/>
      <w:lvlJc w:val="left"/>
      <w:rPr>
        <w:rFonts w:hint="eastAsia"/>
      </w:rPr>
    </w:lvl>
  </w:abstractNum>
  <w:abstractNum w:abstractNumId="3">
    <w:nsid w:val="C57AEE29"/>
    <w:multiLevelType w:val="singleLevel"/>
    <w:tmpl w:val="C57AEE29"/>
    <w:lvl w:ilvl="0" w:tentative="0">
      <w:start w:val="1"/>
      <w:numFmt w:val="decimal"/>
      <w:suff w:val="nothing"/>
      <w:lvlText w:val="%1、"/>
      <w:lvlJc w:val="left"/>
      <w:rPr>
        <w:rFonts w:hint="default" w:ascii="宋体" w:hAnsi="宋体" w:eastAsia="宋体" w:cs="宋体"/>
        <w:sz w:val="21"/>
        <w:szCs w:val="21"/>
      </w:rPr>
    </w:lvl>
  </w:abstractNum>
  <w:abstractNum w:abstractNumId="4">
    <w:nsid w:val="00000001"/>
    <w:multiLevelType w:val="singleLevel"/>
    <w:tmpl w:val="00000001"/>
    <w:lvl w:ilvl="0" w:tentative="0">
      <w:start w:val="1"/>
      <w:numFmt w:val="chineseCounting"/>
      <w:suff w:val="nothing"/>
      <w:lvlText w:val="%1、"/>
      <w:lvlJc w:val="left"/>
    </w:lvl>
  </w:abstractNum>
  <w:abstractNum w:abstractNumId="5">
    <w:nsid w:val="0000000F"/>
    <w:multiLevelType w:val="multilevel"/>
    <w:tmpl w:val="0000000F"/>
    <w:lvl w:ilvl="0" w:tentative="0">
      <w:start w:val="5"/>
      <w:numFmt w:val="japaneseCounting"/>
      <w:pStyle w:val="116"/>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42DB0D2"/>
    <w:multiLevelType w:val="singleLevel"/>
    <w:tmpl w:val="042DB0D2"/>
    <w:lvl w:ilvl="0" w:tentative="0">
      <w:start w:val="1"/>
      <w:numFmt w:val="decimal"/>
      <w:suff w:val="nothing"/>
      <w:lvlText w:val="%1、"/>
      <w:lvlJc w:val="left"/>
    </w:lvl>
  </w:abstractNum>
  <w:abstractNum w:abstractNumId="7">
    <w:nsid w:val="47C82907"/>
    <w:multiLevelType w:val="singleLevel"/>
    <w:tmpl w:val="47C82907"/>
    <w:lvl w:ilvl="0" w:tentative="0">
      <w:start w:val="3"/>
      <w:numFmt w:val="chineseCounting"/>
      <w:suff w:val="nothing"/>
      <w:lvlText w:val="（%1）"/>
      <w:lvlJc w:val="left"/>
      <w:rPr>
        <w:rFonts w:hint="eastAsia"/>
      </w:rPr>
    </w:lvl>
  </w:abstractNum>
  <w:abstractNum w:abstractNumId="8">
    <w:nsid w:val="52CA42C7"/>
    <w:multiLevelType w:val="singleLevel"/>
    <w:tmpl w:val="52CA42C7"/>
    <w:lvl w:ilvl="0" w:tentative="0">
      <w:start w:val="1"/>
      <w:numFmt w:val="decimal"/>
      <w:suff w:val="nothing"/>
      <w:lvlText w:val="%1、"/>
      <w:lvlJc w:val="left"/>
      <w:pPr>
        <w:ind w:left="426" w:firstLine="0"/>
      </w:pPr>
    </w:lvl>
  </w:abstractNum>
  <w:abstractNum w:abstractNumId="9">
    <w:nsid w:val="52CA4E27"/>
    <w:multiLevelType w:val="singleLevel"/>
    <w:tmpl w:val="52CA4E27"/>
    <w:lvl w:ilvl="0" w:tentative="0">
      <w:start w:val="9"/>
      <w:numFmt w:val="chineseCounting"/>
      <w:suff w:val="nothing"/>
      <w:lvlText w:val="%1、"/>
      <w:lvlJc w:val="left"/>
    </w:lvl>
  </w:abstractNum>
  <w:abstractNum w:abstractNumId="10">
    <w:nsid w:val="64A08683"/>
    <w:multiLevelType w:val="singleLevel"/>
    <w:tmpl w:val="64A08683"/>
    <w:lvl w:ilvl="0" w:tentative="0">
      <w:start w:val="3"/>
      <w:numFmt w:val="decimal"/>
      <w:suff w:val="nothing"/>
      <w:lvlText w:val="%1、"/>
      <w:lvlJc w:val="left"/>
    </w:lvl>
  </w:abstractNum>
  <w:abstractNum w:abstractNumId="11">
    <w:nsid w:val="75EA75A6"/>
    <w:multiLevelType w:val="multilevel"/>
    <w:tmpl w:val="75EA75A6"/>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1"/>
  </w:num>
  <w:num w:numId="2">
    <w:abstractNumId w:val="5"/>
  </w:num>
  <w:num w:numId="3">
    <w:abstractNumId w:val="0"/>
  </w:num>
  <w:num w:numId="4">
    <w:abstractNumId w:val="4"/>
  </w:num>
  <w:num w:numId="5">
    <w:abstractNumId w:val="10"/>
  </w:num>
  <w:num w:numId="6">
    <w:abstractNumId w:val="6"/>
  </w:num>
  <w:num w:numId="7">
    <w:abstractNumId w:val="8"/>
    <w:lvlOverride w:ilvl="0">
      <w:startOverride w:val="1"/>
    </w:lvlOverride>
  </w:num>
  <w:num w:numId="8">
    <w:abstractNumId w:val="9"/>
    <w:lvlOverride w:ilvl="0">
      <w:startOverride w:val="9"/>
    </w:lvlOverride>
  </w:num>
  <w:num w:numId="9">
    <w:abstractNumId w:val="2"/>
  </w:num>
  <w:num w:numId="10">
    <w:abstractNumId w:val="7"/>
  </w:num>
  <w:num w:numId="11">
    <w:abstractNumId w:val="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相辉">
    <w15:presenceInfo w15:providerId="None" w15:userId="陈相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DY2MGIxMzAzNTRjZGRkYTEwZTQ4MWVjMzBjNDMifQ=="/>
  </w:docVars>
  <w:rsids>
    <w:rsidRoot w:val="006049A0"/>
    <w:rsid w:val="00000235"/>
    <w:rsid w:val="00000850"/>
    <w:rsid w:val="000022CB"/>
    <w:rsid w:val="00002E01"/>
    <w:rsid w:val="0000421D"/>
    <w:rsid w:val="000052D4"/>
    <w:rsid w:val="000063E4"/>
    <w:rsid w:val="00013394"/>
    <w:rsid w:val="00016621"/>
    <w:rsid w:val="00016DE3"/>
    <w:rsid w:val="0002591E"/>
    <w:rsid w:val="00031225"/>
    <w:rsid w:val="0003177B"/>
    <w:rsid w:val="0003521C"/>
    <w:rsid w:val="0003548F"/>
    <w:rsid w:val="000376B2"/>
    <w:rsid w:val="00040CD6"/>
    <w:rsid w:val="000414B2"/>
    <w:rsid w:val="00042510"/>
    <w:rsid w:val="00044264"/>
    <w:rsid w:val="00045B58"/>
    <w:rsid w:val="000465AB"/>
    <w:rsid w:val="00050602"/>
    <w:rsid w:val="00051AA7"/>
    <w:rsid w:val="00055753"/>
    <w:rsid w:val="000561EC"/>
    <w:rsid w:val="00057286"/>
    <w:rsid w:val="00057807"/>
    <w:rsid w:val="00060339"/>
    <w:rsid w:val="00060B10"/>
    <w:rsid w:val="000632EB"/>
    <w:rsid w:val="00064815"/>
    <w:rsid w:val="00064DD2"/>
    <w:rsid w:val="0006545D"/>
    <w:rsid w:val="00072DD2"/>
    <w:rsid w:val="00073386"/>
    <w:rsid w:val="00073B61"/>
    <w:rsid w:val="000747F2"/>
    <w:rsid w:val="00075C86"/>
    <w:rsid w:val="00076ED7"/>
    <w:rsid w:val="00077654"/>
    <w:rsid w:val="000815A2"/>
    <w:rsid w:val="00083F19"/>
    <w:rsid w:val="0008690E"/>
    <w:rsid w:val="0009058A"/>
    <w:rsid w:val="00092CF5"/>
    <w:rsid w:val="0009404C"/>
    <w:rsid w:val="00097038"/>
    <w:rsid w:val="00097273"/>
    <w:rsid w:val="0009776F"/>
    <w:rsid w:val="000A3664"/>
    <w:rsid w:val="000A3945"/>
    <w:rsid w:val="000A6FE9"/>
    <w:rsid w:val="000B12E9"/>
    <w:rsid w:val="000B13F7"/>
    <w:rsid w:val="000B1C33"/>
    <w:rsid w:val="000B2230"/>
    <w:rsid w:val="000B2D0E"/>
    <w:rsid w:val="000B3833"/>
    <w:rsid w:val="000B6D52"/>
    <w:rsid w:val="000B7F94"/>
    <w:rsid w:val="000C0887"/>
    <w:rsid w:val="000C127D"/>
    <w:rsid w:val="000C1E07"/>
    <w:rsid w:val="000C4A6F"/>
    <w:rsid w:val="000C4D20"/>
    <w:rsid w:val="000C4DE4"/>
    <w:rsid w:val="000D15D9"/>
    <w:rsid w:val="000D3342"/>
    <w:rsid w:val="000D3FF2"/>
    <w:rsid w:val="000D44A5"/>
    <w:rsid w:val="000D5F23"/>
    <w:rsid w:val="000E03FC"/>
    <w:rsid w:val="000E135B"/>
    <w:rsid w:val="000E2B79"/>
    <w:rsid w:val="000E425A"/>
    <w:rsid w:val="000E6C85"/>
    <w:rsid w:val="000E7A8D"/>
    <w:rsid w:val="000E7F01"/>
    <w:rsid w:val="000F3D64"/>
    <w:rsid w:val="000F45C4"/>
    <w:rsid w:val="000F542D"/>
    <w:rsid w:val="000F58B2"/>
    <w:rsid w:val="000F7AD1"/>
    <w:rsid w:val="00100573"/>
    <w:rsid w:val="001017A4"/>
    <w:rsid w:val="0010266B"/>
    <w:rsid w:val="001108D3"/>
    <w:rsid w:val="00110E6D"/>
    <w:rsid w:val="00112095"/>
    <w:rsid w:val="0011326A"/>
    <w:rsid w:val="001200C5"/>
    <w:rsid w:val="00125240"/>
    <w:rsid w:val="00125F9F"/>
    <w:rsid w:val="00126E7D"/>
    <w:rsid w:val="00127542"/>
    <w:rsid w:val="0013586F"/>
    <w:rsid w:val="00135882"/>
    <w:rsid w:val="00145983"/>
    <w:rsid w:val="00147B24"/>
    <w:rsid w:val="00151E63"/>
    <w:rsid w:val="00152313"/>
    <w:rsid w:val="0015784E"/>
    <w:rsid w:val="00162525"/>
    <w:rsid w:val="001665B0"/>
    <w:rsid w:val="0017032C"/>
    <w:rsid w:val="00171EC4"/>
    <w:rsid w:val="001729AD"/>
    <w:rsid w:val="001735DF"/>
    <w:rsid w:val="00173CB6"/>
    <w:rsid w:val="00174A02"/>
    <w:rsid w:val="00176AD2"/>
    <w:rsid w:val="001806DC"/>
    <w:rsid w:val="00180EFC"/>
    <w:rsid w:val="001831F5"/>
    <w:rsid w:val="00185D6A"/>
    <w:rsid w:val="00186094"/>
    <w:rsid w:val="0018620D"/>
    <w:rsid w:val="00187304"/>
    <w:rsid w:val="00193137"/>
    <w:rsid w:val="00193C19"/>
    <w:rsid w:val="00196F68"/>
    <w:rsid w:val="00197F1B"/>
    <w:rsid w:val="001A009C"/>
    <w:rsid w:val="001A0E0C"/>
    <w:rsid w:val="001A22A0"/>
    <w:rsid w:val="001A2377"/>
    <w:rsid w:val="001A3280"/>
    <w:rsid w:val="001A44B6"/>
    <w:rsid w:val="001A5698"/>
    <w:rsid w:val="001A79FF"/>
    <w:rsid w:val="001A7C4B"/>
    <w:rsid w:val="001B10A1"/>
    <w:rsid w:val="001B170F"/>
    <w:rsid w:val="001B1895"/>
    <w:rsid w:val="001B1AD7"/>
    <w:rsid w:val="001B5352"/>
    <w:rsid w:val="001B7E9E"/>
    <w:rsid w:val="001C156B"/>
    <w:rsid w:val="001C166A"/>
    <w:rsid w:val="001C54C8"/>
    <w:rsid w:val="001D112F"/>
    <w:rsid w:val="001D2503"/>
    <w:rsid w:val="001D26A8"/>
    <w:rsid w:val="001D41DB"/>
    <w:rsid w:val="001E19BA"/>
    <w:rsid w:val="001E3396"/>
    <w:rsid w:val="001E3BF3"/>
    <w:rsid w:val="001E3C6A"/>
    <w:rsid w:val="001E4FCF"/>
    <w:rsid w:val="001E51C2"/>
    <w:rsid w:val="001E5C21"/>
    <w:rsid w:val="001F051D"/>
    <w:rsid w:val="001F1FDA"/>
    <w:rsid w:val="001F4601"/>
    <w:rsid w:val="001F502E"/>
    <w:rsid w:val="001F5B0B"/>
    <w:rsid w:val="001F64FA"/>
    <w:rsid w:val="001F7BAD"/>
    <w:rsid w:val="00201686"/>
    <w:rsid w:val="00203378"/>
    <w:rsid w:val="00203D4F"/>
    <w:rsid w:val="00203D9B"/>
    <w:rsid w:val="00205504"/>
    <w:rsid w:val="00205719"/>
    <w:rsid w:val="00215A97"/>
    <w:rsid w:val="0021780F"/>
    <w:rsid w:val="00220F5E"/>
    <w:rsid w:val="00221691"/>
    <w:rsid w:val="00221C0F"/>
    <w:rsid w:val="00225EDB"/>
    <w:rsid w:val="002277FE"/>
    <w:rsid w:val="00231AEE"/>
    <w:rsid w:val="00231E62"/>
    <w:rsid w:val="002401D4"/>
    <w:rsid w:val="00243702"/>
    <w:rsid w:val="002443FD"/>
    <w:rsid w:val="0024511E"/>
    <w:rsid w:val="0025083B"/>
    <w:rsid w:val="00251625"/>
    <w:rsid w:val="00251919"/>
    <w:rsid w:val="0025238A"/>
    <w:rsid w:val="00255F77"/>
    <w:rsid w:val="00257339"/>
    <w:rsid w:val="00257E7E"/>
    <w:rsid w:val="002627D6"/>
    <w:rsid w:val="002629E0"/>
    <w:rsid w:val="00262C99"/>
    <w:rsid w:val="002656CD"/>
    <w:rsid w:val="00266687"/>
    <w:rsid w:val="00273BDC"/>
    <w:rsid w:val="002742BA"/>
    <w:rsid w:val="00275B75"/>
    <w:rsid w:val="00276E33"/>
    <w:rsid w:val="002802F9"/>
    <w:rsid w:val="00280300"/>
    <w:rsid w:val="002811EA"/>
    <w:rsid w:val="002901A0"/>
    <w:rsid w:val="0029139A"/>
    <w:rsid w:val="00291A1C"/>
    <w:rsid w:val="00292BBB"/>
    <w:rsid w:val="002947C4"/>
    <w:rsid w:val="002A02A9"/>
    <w:rsid w:val="002A061D"/>
    <w:rsid w:val="002A327D"/>
    <w:rsid w:val="002A357A"/>
    <w:rsid w:val="002A3D91"/>
    <w:rsid w:val="002A43E6"/>
    <w:rsid w:val="002A69B9"/>
    <w:rsid w:val="002B0F8F"/>
    <w:rsid w:val="002B4B9E"/>
    <w:rsid w:val="002B5032"/>
    <w:rsid w:val="002B6017"/>
    <w:rsid w:val="002C3647"/>
    <w:rsid w:val="002C4947"/>
    <w:rsid w:val="002C5B32"/>
    <w:rsid w:val="002C64A6"/>
    <w:rsid w:val="002C743E"/>
    <w:rsid w:val="002D2097"/>
    <w:rsid w:val="002D2B9B"/>
    <w:rsid w:val="002D475C"/>
    <w:rsid w:val="002D6389"/>
    <w:rsid w:val="002E1333"/>
    <w:rsid w:val="002E1905"/>
    <w:rsid w:val="002E2E15"/>
    <w:rsid w:val="002E2E1D"/>
    <w:rsid w:val="002E42DE"/>
    <w:rsid w:val="002E66E0"/>
    <w:rsid w:val="002F02CF"/>
    <w:rsid w:val="002F12FB"/>
    <w:rsid w:val="002F1D3C"/>
    <w:rsid w:val="002F25CA"/>
    <w:rsid w:val="002F2D51"/>
    <w:rsid w:val="002F2ECB"/>
    <w:rsid w:val="002F465F"/>
    <w:rsid w:val="002F54DE"/>
    <w:rsid w:val="002F6C4B"/>
    <w:rsid w:val="002F7118"/>
    <w:rsid w:val="00302ABB"/>
    <w:rsid w:val="00302C52"/>
    <w:rsid w:val="0030334F"/>
    <w:rsid w:val="003049B9"/>
    <w:rsid w:val="00307D89"/>
    <w:rsid w:val="00311A5F"/>
    <w:rsid w:val="00316BFE"/>
    <w:rsid w:val="003234CA"/>
    <w:rsid w:val="00323726"/>
    <w:rsid w:val="00323804"/>
    <w:rsid w:val="00324ADA"/>
    <w:rsid w:val="00331450"/>
    <w:rsid w:val="00331EDD"/>
    <w:rsid w:val="00333B3E"/>
    <w:rsid w:val="00334A55"/>
    <w:rsid w:val="003356C0"/>
    <w:rsid w:val="00335FA5"/>
    <w:rsid w:val="003406E7"/>
    <w:rsid w:val="00341717"/>
    <w:rsid w:val="00342718"/>
    <w:rsid w:val="00344062"/>
    <w:rsid w:val="00344BA7"/>
    <w:rsid w:val="0034731C"/>
    <w:rsid w:val="00347D41"/>
    <w:rsid w:val="003509F3"/>
    <w:rsid w:val="00352335"/>
    <w:rsid w:val="00353C7F"/>
    <w:rsid w:val="00355E91"/>
    <w:rsid w:val="00356831"/>
    <w:rsid w:val="0036166E"/>
    <w:rsid w:val="00363F97"/>
    <w:rsid w:val="00364343"/>
    <w:rsid w:val="003703BB"/>
    <w:rsid w:val="003710D8"/>
    <w:rsid w:val="00373EC8"/>
    <w:rsid w:val="00375383"/>
    <w:rsid w:val="0037666B"/>
    <w:rsid w:val="00377CAB"/>
    <w:rsid w:val="0038070C"/>
    <w:rsid w:val="00383F83"/>
    <w:rsid w:val="00385183"/>
    <w:rsid w:val="003852AF"/>
    <w:rsid w:val="00393F28"/>
    <w:rsid w:val="00395D72"/>
    <w:rsid w:val="003A2214"/>
    <w:rsid w:val="003A276B"/>
    <w:rsid w:val="003A376A"/>
    <w:rsid w:val="003B65E9"/>
    <w:rsid w:val="003C1A3C"/>
    <w:rsid w:val="003C275E"/>
    <w:rsid w:val="003C48D2"/>
    <w:rsid w:val="003C4AD9"/>
    <w:rsid w:val="003C572A"/>
    <w:rsid w:val="003C57FB"/>
    <w:rsid w:val="003C5C52"/>
    <w:rsid w:val="003C7417"/>
    <w:rsid w:val="003C7F7E"/>
    <w:rsid w:val="003D4064"/>
    <w:rsid w:val="003D4EB1"/>
    <w:rsid w:val="003D5D7F"/>
    <w:rsid w:val="003D77EA"/>
    <w:rsid w:val="003E0459"/>
    <w:rsid w:val="003E048E"/>
    <w:rsid w:val="003E2CB6"/>
    <w:rsid w:val="003E464C"/>
    <w:rsid w:val="003E5D71"/>
    <w:rsid w:val="003E6EC6"/>
    <w:rsid w:val="003E7BD5"/>
    <w:rsid w:val="003F01A1"/>
    <w:rsid w:val="003F0DB1"/>
    <w:rsid w:val="003F1362"/>
    <w:rsid w:val="003F24BA"/>
    <w:rsid w:val="003F25B9"/>
    <w:rsid w:val="003F38C9"/>
    <w:rsid w:val="003F397A"/>
    <w:rsid w:val="003F3CB4"/>
    <w:rsid w:val="003F70E0"/>
    <w:rsid w:val="00403151"/>
    <w:rsid w:val="004035DA"/>
    <w:rsid w:val="00404D9F"/>
    <w:rsid w:val="00404DEB"/>
    <w:rsid w:val="00405012"/>
    <w:rsid w:val="0040622D"/>
    <w:rsid w:val="00412F4E"/>
    <w:rsid w:val="00413D62"/>
    <w:rsid w:val="00415BA0"/>
    <w:rsid w:val="00417FD2"/>
    <w:rsid w:val="00421303"/>
    <w:rsid w:val="004213C5"/>
    <w:rsid w:val="00431820"/>
    <w:rsid w:val="00431F33"/>
    <w:rsid w:val="0043261D"/>
    <w:rsid w:val="00434843"/>
    <w:rsid w:val="004355BE"/>
    <w:rsid w:val="00436A15"/>
    <w:rsid w:val="00436EF7"/>
    <w:rsid w:val="004407D6"/>
    <w:rsid w:val="00440B34"/>
    <w:rsid w:val="00442566"/>
    <w:rsid w:val="00443B7B"/>
    <w:rsid w:val="00455248"/>
    <w:rsid w:val="004572AB"/>
    <w:rsid w:val="00457E2F"/>
    <w:rsid w:val="0046015E"/>
    <w:rsid w:val="00460496"/>
    <w:rsid w:val="0046049E"/>
    <w:rsid w:val="00463345"/>
    <w:rsid w:val="00463485"/>
    <w:rsid w:val="0046495A"/>
    <w:rsid w:val="00465109"/>
    <w:rsid w:val="00465408"/>
    <w:rsid w:val="004735A4"/>
    <w:rsid w:val="00476CFB"/>
    <w:rsid w:val="00477F74"/>
    <w:rsid w:val="00480826"/>
    <w:rsid w:val="00480BF8"/>
    <w:rsid w:val="00480F9D"/>
    <w:rsid w:val="00481B22"/>
    <w:rsid w:val="004823AF"/>
    <w:rsid w:val="00487267"/>
    <w:rsid w:val="00490CC3"/>
    <w:rsid w:val="00492F16"/>
    <w:rsid w:val="004943A7"/>
    <w:rsid w:val="004A279B"/>
    <w:rsid w:val="004A3FA8"/>
    <w:rsid w:val="004A5CD0"/>
    <w:rsid w:val="004B259D"/>
    <w:rsid w:val="004B3E8C"/>
    <w:rsid w:val="004B4265"/>
    <w:rsid w:val="004B47DE"/>
    <w:rsid w:val="004B4962"/>
    <w:rsid w:val="004B51FE"/>
    <w:rsid w:val="004B6ADF"/>
    <w:rsid w:val="004B7000"/>
    <w:rsid w:val="004B7254"/>
    <w:rsid w:val="004C17F2"/>
    <w:rsid w:val="004C20F7"/>
    <w:rsid w:val="004C5847"/>
    <w:rsid w:val="004D01B6"/>
    <w:rsid w:val="004D1DF1"/>
    <w:rsid w:val="004D1EAF"/>
    <w:rsid w:val="004D451D"/>
    <w:rsid w:val="004E1A48"/>
    <w:rsid w:val="004E5F3F"/>
    <w:rsid w:val="004E76A7"/>
    <w:rsid w:val="004F0B81"/>
    <w:rsid w:val="004F1273"/>
    <w:rsid w:val="004F15FC"/>
    <w:rsid w:val="004F4CB5"/>
    <w:rsid w:val="004F73CC"/>
    <w:rsid w:val="005001DF"/>
    <w:rsid w:val="00503373"/>
    <w:rsid w:val="00511B5A"/>
    <w:rsid w:val="00512498"/>
    <w:rsid w:val="0051294C"/>
    <w:rsid w:val="005132B0"/>
    <w:rsid w:val="00514AF5"/>
    <w:rsid w:val="00516067"/>
    <w:rsid w:val="00517CC1"/>
    <w:rsid w:val="00520996"/>
    <w:rsid w:val="0052261B"/>
    <w:rsid w:val="00523C11"/>
    <w:rsid w:val="005242C7"/>
    <w:rsid w:val="00524E83"/>
    <w:rsid w:val="00527F74"/>
    <w:rsid w:val="00533B47"/>
    <w:rsid w:val="00533E53"/>
    <w:rsid w:val="00534ACC"/>
    <w:rsid w:val="00535624"/>
    <w:rsid w:val="00536359"/>
    <w:rsid w:val="00542A5B"/>
    <w:rsid w:val="00542C5C"/>
    <w:rsid w:val="00543497"/>
    <w:rsid w:val="0054392B"/>
    <w:rsid w:val="005444A4"/>
    <w:rsid w:val="005456BE"/>
    <w:rsid w:val="005476D4"/>
    <w:rsid w:val="00552D17"/>
    <w:rsid w:val="005536EA"/>
    <w:rsid w:val="005558CD"/>
    <w:rsid w:val="00555F28"/>
    <w:rsid w:val="00556E28"/>
    <w:rsid w:val="00561732"/>
    <w:rsid w:val="005658A8"/>
    <w:rsid w:val="00566B11"/>
    <w:rsid w:val="00567021"/>
    <w:rsid w:val="005704A8"/>
    <w:rsid w:val="00570E52"/>
    <w:rsid w:val="00571F07"/>
    <w:rsid w:val="005740CD"/>
    <w:rsid w:val="0057478B"/>
    <w:rsid w:val="00574A36"/>
    <w:rsid w:val="0057509E"/>
    <w:rsid w:val="0057534C"/>
    <w:rsid w:val="00575D7E"/>
    <w:rsid w:val="00577CCD"/>
    <w:rsid w:val="00580611"/>
    <w:rsid w:val="00585539"/>
    <w:rsid w:val="00590EE0"/>
    <w:rsid w:val="005922CE"/>
    <w:rsid w:val="00593722"/>
    <w:rsid w:val="0059538A"/>
    <w:rsid w:val="00595836"/>
    <w:rsid w:val="00597BE8"/>
    <w:rsid w:val="005A11FE"/>
    <w:rsid w:val="005A39EB"/>
    <w:rsid w:val="005A3B6A"/>
    <w:rsid w:val="005A44F6"/>
    <w:rsid w:val="005A49E8"/>
    <w:rsid w:val="005B4877"/>
    <w:rsid w:val="005B560E"/>
    <w:rsid w:val="005B68EE"/>
    <w:rsid w:val="005B711F"/>
    <w:rsid w:val="005B7238"/>
    <w:rsid w:val="005B7B56"/>
    <w:rsid w:val="005C051F"/>
    <w:rsid w:val="005C6037"/>
    <w:rsid w:val="005C6892"/>
    <w:rsid w:val="005C6FDC"/>
    <w:rsid w:val="005C724C"/>
    <w:rsid w:val="005C7459"/>
    <w:rsid w:val="005C7F25"/>
    <w:rsid w:val="005D1AA5"/>
    <w:rsid w:val="005D28B9"/>
    <w:rsid w:val="005D4574"/>
    <w:rsid w:val="005E5354"/>
    <w:rsid w:val="005E5F43"/>
    <w:rsid w:val="005E6543"/>
    <w:rsid w:val="005F05B6"/>
    <w:rsid w:val="005F61D7"/>
    <w:rsid w:val="005F6982"/>
    <w:rsid w:val="006008A6"/>
    <w:rsid w:val="006049A0"/>
    <w:rsid w:val="00606EAA"/>
    <w:rsid w:val="00610069"/>
    <w:rsid w:val="00611A28"/>
    <w:rsid w:val="00611ADF"/>
    <w:rsid w:val="0061277A"/>
    <w:rsid w:val="0061291D"/>
    <w:rsid w:val="00613446"/>
    <w:rsid w:val="00613A88"/>
    <w:rsid w:val="00613B08"/>
    <w:rsid w:val="00614F17"/>
    <w:rsid w:val="00615D42"/>
    <w:rsid w:val="006178C1"/>
    <w:rsid w:val="00621994"/>
    <w:rsid w:val="00622725"/>
    <w:rsid w:val="006228E3"/>
    <w:rsid w:val="00623A83"/>
    <w:rsid w:val="006246F4"/>
    <w:rsid w:val="00624F44"/>
    <w:rsid w:val="00627F57"/>
    <w:rsid w:val="006326FD"/>
    <w:rsid w:val="00634409"/>
    <w:rsid w:val="006349D1"/>
    <w:rsid w:val="00635E30"/>
    <w:rsid w:val="0063600B"/>
    <w:rsid w:val="00637DDF"/>
    <w:rsid w:val="0064442E"/>
    <w:rsid w:val="0064571E"/>
    <w:rsid w:val="0065370F"/>
    <w:rsid w:val="00662729"/>
    <w:rsid w:val="00663496"/>
    <w:rsid w:val="0066394D"/>
    <w:rsid w:val="00663E1E"/>
    <w:rsid w:val="006725B8"/>
    <w:rsid w:val="00672FCD"/>
    <w:rsid w:val="006753E1"/>
    <w:rsid w:val="006775CC"/>
    <w:rsid w:val="0068088D"/>
    <w:rsid w:val="00681282"/>
    <w:rsid w:val="00682FD8"/>
    <w:rsid w:val="00683392"/>
    <w:rsid w:val="0068695D"/>
    <w:rsid w:val="00691630"/>
    <w:rsid w:val="0069164D"/>
    <w:rsid w:val="006923D9"/>
    <w:rsid w:val="006931C2"/>
    <w:rsid w:val="0069390B"/>
    <w:rsid w:val="006943AB"/>
    <w:rsid w:val="006950A7"/>
    <w:rsid w:val="00696168"/>
    <w:rsid w:val="006972D6"/>
    <w:rsid w:val="006973B7"/>
    <w:rsid w:val="006A1204"/>
    <w:rsid w:val="006A33DD"/>
    <w:rsid w:val="006A4979"/>
    <w:rsid w:val="006B21C0"/>
    <w:rsid w:val="006B27E7"/>
    <w:rsid w:val="006B32A4"/>
    <w:rsid w:val="006B37D2"/>
    <w:rsid w:val="006B4204"/>
    <w:rsid w:val="006B7FD4"/>
    <w:rsid w:val="006C02D5"/>
    <w:rsid w:val="006C0A6A"/>
    <w:rsid w:val="006C1403"/>
    <w:rsid w:val="006C1840"/>
    <w:rsid w:val="006C365C"/>
    <w:rsid w:val="006C4CE2"/>
    <w:rsid w:val="006C521A"/>
    <w:rsid w:val="006D4947"/>
    <w:rsid w:val="006E092F"/>
    <w:rsid w:val="006E1E99"/>
    <w:rsid w:val="006E2C36"/>
    <w:rsid w:val="006E3E02"/>
    <w:rsid w:val="006E5279"/>
    <w:rsid w:val="006E58D6"/>
    <w:rsid w:val="006F0BB6"/>
    <w:rsid w:val="006F18BB"/>
    <w:rsid w:val="006F1A61"/>
    <w:rsid w:val="006F1A6D"/>
    <w:rsid w:val="006F2D11"/>
    <w:rsid w:val="006F328D"/>
    <w:rsid w:val="006F5234"/>
    <w:rsid w:val="006F6C8A"/>
    <w:rsid w:val="006F6FE1"/>
    <w:rsid w:val="00700B68"/>
    <w:rsid w:val="0070347A"/>
    <w:rsid w:val="00705107"/>
    <w:rsid w:val="0070756F"/>
    <w:rsid w:val="00710B10"/>
    <w:rsid w:val="007133C0"/>
    <w:rsid w:val="00713CC2"/>
    <w:rsid w:val="00720447"/>
    <w:rsid w:val="00721279"/>
    <w:rsid w:val="007220AE"/>
    <w:rsid w:val="00722309"/>
    <w:rsid w:val="00724329"/>
    <w:rsid w:val="00732080"/>
    <w:rsid w:val="00732221"/>
    <w:rsid w:val="007344D7"/>
    <w:rsid w:val="00735CD3"/>
    <w:rsid w:val="00736210"/>
    <w:rsid w:val="00740EA4"/>
    <w:rsid w:val="00742241"/>
    <w:rsid w:val="00742439"/>
    <w:rsid w:val="00743E2A"/>
    <w:rsid w:val="00744390"/>
    <w:rsid w:val="00745654"/>
    <w:rsid w:val="00745CCF"/>
    <w:rsid w:val="00747113"/>
    <w:rsid w:val="00747F2A"/>
    <w:rsid w:val="00752496"/>
    <w:rsid w:val="00752A44"/>
    <w:rsid w:val="00754BA5"/>
    <w:rsid w:val="00755908"/>
    <w:rsid w:val="0076236E"/>
    <w:rsid w:val="0076294E"/>
    <w:rsid w:val="00766D9F"/>
    <w:rsid w:val="00767982"/>
    <w:rsid w:val="00773308"/>
    <w:rsid w:val="00774320"/>
    <w:rsid w:val="00774D5C"/>
    <w:rsid w:val="00774EA8"/>
    <w:rsid w:val="00777278"/>
    <w:rsid w:val="007774AC"/>
    <w:rsid w:val="00780A12"/>
    <w:rsid w:val="0078255F"/>
    <w:rsid w:val="007828D1"/>
    <w:rsid w:val="007843EE"/>
    <w:rsid w:val="0078698D"/>
    <w:rsid w:val="00787145"/>
    <w:rsid w:val="007901CF"/>
    <w:rsid w:val="00791D71"/>
    <w:rsid w:val="00792E70"/>
    <w:rsid w:val="00793F3C"/>
    <w:rsid w:val="00795571"/>
    <w:rsid w:val="007968E5"/>
    <w:rsid w:val="00796C42"/>
    <w:rsid w:val="007A0625"/>
    <w:rsid w:val="007A3613"/>
    <w:rsid w:val="007A3824"/>
    <w:rsid w:val="007A5A20"/>
    <w:rsid w:val="007A6D8D"/>
    <w:rsid w:val="007B015F"/>
    <w:rsid w:val="007B1C74"/>
    <w:rsid w:val="007B1DBD"/>
    <w:rsid w:val="007B1EE8"/>
    <w:rsid w:val="007B33DA"/>
    <w:rsid w:val="007B68C6"/>
    <w:rsid w:val="007B7121"/>
    <w:rsid w:val="007B7AA6"/>
    <w:rsid w:val="007C19E2"/>
    <w:rsid w:val="007C36DB"/>
    <w:rsid w:val="007C68A4"/>
    <w:rsid w:val="007D164D"/>
    <w:rsid w:val="007D1A98"/>
    <w:rsid w:val="007D2AFA"/>
    <w:rsid w:val="007D49F9"/>
    <w:rsid w:val="007D5335"/>
    <w:rsid w:val="007D61F9"/>
    <w:rsid w:val="007D75BD"/>
    <w:rsid w:val="007E1A9B"/>
    <w:rsid w:val="007E3382"/>
    <w:rsid w:val="007E5A56"/>
    <w:rsid w:val="007E62CF"/>
    <w:rsid w:val="007F30DF"/>
    <w:rsid w:val="007F536D"/>
    <w:rsid w:val="007F5C2C"/>
    <w:rsid w:val="008016ED"/>
    <w:rsid w:val="008038C8"/>
    <w:rsid w:val="008040B6"/>
    <w:rsid w:val="00804C6D"/>
    <w:rsid w:val="00805C2B"/>
    <w:rsid w:val="00806B8A"/>
    <w:rsid w:val="0080764F"/>
    <w:rsid w:val="00811030"/>
    <w:rsid w:val="00812320"/>
    <w:rsid w:val="00813326"/>
    <w:rsid w:val="008134DB"/>
    <w:rsid w:val="0082140E"/>
    <w:rsid w:val="00822A2B"/>
    <w:rsid w:val="00826607"/>
    <w:rsid w:val="00827304"/>
    <w:rsid w:val="00830C25"/>
    <w:rsid w:val="00833137"/>
    <w:rsid w:val="0084126F"/>
    <w:rsid w:val="008430C0"/>
    <w:rsid w:val="00845415"/>
    <w:rsid w:val="0085195F"/>
    <w:rsid w:val="008519B4"/>
    <w:rsid w:val="008521ED"/>
    <w:rsid w:val="00853A6D"/>
    <w:rsid w:val="008542FF"/>
    <w:rsid w:val="00855DB9"/>
    <w:rsid w:val="008564F2"/>
    <w:rsid w:val="00860475"/>
    <w:rsid w:val="008607F9"/>
    <w:rsid w:val="00860B14"/>
    <w:rsid w:val="00864613"/>
    <w:rsid w:val="00866B0A"/>
    <w:rsid w:val="00870197"/>
    <w:rsid w:val="00870A4F"/>
    <w:rsid w:val="00871739"/>
    <w:rsid w:val="00872627"/>
    <w:rsid w:val="0087312C"/>
    <w:rsid w:val="00875625"/>
    <w:rsid w:val="00876052"/>
    <w:rsid w:val="0088227A"/>
    <w:rsid w:val="008850E8"/>
    <w:rsid w:val="0088512B"/>
    <w:rsid w:val="00886C3B"/>
    <w:rsid w:val="00890B5C"/>
    <w:rsid w:val="008911D9"/>
    <w:rsid w:val="00891FF3"/>
    <w:rsid w:val="0089270F"/>
    <w:rsid w:val="008932F9"/>
    <w:rsid w:val="0089405E"/>
    <w:rsid w:val="008A01E5"/>
    <w:rsid w:val="008A0F40"/>
    <w:rsid w:val="008A559E"/>
    <w:rsid w:val="008A6D57"/>
    <w:rsid w:val="008B2599"/>
    <w:rsid w:val="008B4C2C"/>
    <w:rsid w:val="008B573D"/>
    <w:rsid w:val="008B5D34"/>
    <w:rsid w:val="008C11D8"/>
    <w:rsid w:val="008C20E7"/>
    <w:rsid w:val="008C2807"/>
    <w:rsid w:val="008C390A"/>
    <w:rsid w:val="008D07A5"/>
    <w:rsid w:val="008D1288"/>
    <w:rsid w:val="008D23C9"/>
    <w:rsid w:val="008D2B4E"/>
    <w:rsid w:val="008D72A0"/>
    <w:rsid w:val="008D779A"/>
    <w:rsid w:val="008D7A23"/>
    <w:rsid w:val="008E0537"/>
    <w:rsid w:val="008E0673"/>
    <w:rsid w:val="008E15FD"/>
    <w:rsid w:val="008E1A8A"/>
    <w:rsid w:val="008E74D6"/>
    <w:rsid w:val="008E7FB7"/>
    <w:rsid w:val="008F0CFB"/>
    <w:rsid w:val="008F38E1"/>
    <w:rsid w:val="008F5FDF"/>
    <w:rsid w:val="00903C66"/>
    <w:rsid w:val="00903E7C"/>
    <w:rsid w:val="00905D5A"/>
    <w:rsid w:val="00906ADC"/>
    <w:rsid w:val="00906CA4"/>
    <w:rsid w:val="00907D55"/>
    <w:rsid w:val="00910F95"/>
    <w:rsid w:val="00912997"/>
    <w:rsid w:val="00912D75"/>
    <w:rsid w:val="00913316"/>
    <w:rsid w:val="00913673"/>
    <w:rsid w:val="009137C3"/>
    <w:rsid w:val="00913E56"/>
    <w:rsid w:val="0091534A"/>
    <w:rsid w:val="00923710"/>
    <w:rsid w:val="00923F82"/>
    <w:rsid w:val="009241CE"/>
    <w:rsid w:val="00925CA2"/>
    <w:rsid w:val="00930F76"/>
    <w:rsid w:val="009323EC"/>
    <w:rsid w:val="00932E91"/>
    <w:rsid w:val="00933B9B"/>
    <w:rsid w:val="00934419"/>
    <w:rsid w:val="00934CF2"/>
    <w:rsid w:val="0093622E"/>
    <w:rsid w:val="00936BDB"/>
    <w:rsid w:val="00937332"/>
    <w:rsid w:val="00937C2D"/>
    <w:rsid w:val="00940B8E"/>
    <w:rsid w:val="00941810"/>
    <w:rsid w:val="00946CBE"/>
    <w:rsid w:val="009470F5"/>
    <w:rsid w:val="00950244"/>
    <w:rsid w:val="009505AB"/>
    <w:rsid w:val="00951BE6"/>
    <w:rsid w:val="00952B4A"/>
    <w:rsid w:val="009535B4"/>
    <w:rsid w:val="00955EED"/>
    <w:rsid w:val="00961DA0"/>
    <w:rsid w:val="00965DB4"/>
    <w:rsid w:val="00965FF3"/>
    <w:rsid w:val="00966FF0"/>
    <w:rsid w:val="00967613"/>
    <w:rsid w:val="0097473B"/>
    <w:rsid w:val="0097512E"/>
    <w:rsid w:val="00975DAF"/>
    <w:rsid w:val="00976FEA"/>
    <w:rsid w:val="00977A59"/>
    <w:rsid w:val="00977F5C"/>
    <w:rsid w:val="009804FE"/>
    <w:rsid w:val="00980C62"/>
    <w:rsid w:val="00981466"/>
    <w:rsid w:val="00982F5D"/>
    <w:rsid w:val="009837C5"/>
    <w:rsid w:val="00983FF0"/>
    <w:rsid w:val="00986D24"/>
    <w:rsid w:val="009874A8"/>
    <w:rsid w:val="009932A7"/>
    <w:rsid w:val="00994126"/>
    <w:rsid w:val="00994C00"/>
    <w:rsid w:val="00996863"/>
    <w:rsid w:val="00996F9C"/>
    <w:rsid w:val="009A0951"/>
    <w:rsid w:val="009A27E0"/>
    <w:rsid w:val="009A436E"/>
    <w:rsid w:val="009A52BE"/>
    <w:rsid w:val="009A7C91"/>
    <w:rsid w:val="009A7DA1"/>
    <w:rsid w:val="009B0872"/>
    <w:rsid w:val="009B108B"/>
    <w:rsid w:val="009B2C2B"/>
    <w:rsid w:val="009B3175"/>
    <w:rsid w:val="009B717C"/>
    <w:rsid w:val="009C18D0"/>
    <w:rsid w:val="009C3441"/>
    <w:rsid w:val="009C3F1D"/>
    <w:rsid w:val="009C5531"/>
    <w:rsid w:val="009C6B08"/>
    <w:rsid w:val="009C71C6"/>
    <w:rsid w:val="009D4630"/>
    <w:rsid w:val="009E3E50"/>
    <w:rsid w:val="009E492E"/>
    <w:rsid w:val="009E7282"/>
    <w:rsid w:val="009E7F35"/>
    <w:rsid w:val="009F14F3"/>
    <w:rsid w:val="009F2305"/>
    <w:rsid w:val="009F2F04"/>
    <w:rsid w:val="009F429D"/>
    <w:rsid w:val="009F4D7E"/>
    <w:rsid w:val="009F5B76"/>
    <w:rsid w:val="009F7256"/>
    <w:rsid w:val="00A0146C"/>
    <w:rsid w:val="00A032C9"/>
    <w:rsid w:val="00A04E2C"/>
    <w:rsid w:val="00A04E8E"/>
    <w:rsid w:val="00A058AD"/>
    <w:rsid w:val="00A10F32"/>
    <w:rsid w:val="00A12ADE"/>
    <w:rsid w:val="00A13E50"/>
    <w:rsid w:val="00A14B86"/>
    <w:rsid w:val="00A154CA"/>
    <w:rsid w:val="00A17B8F"/>
    <w:rsid w:val="00A17D3F"/>
    <w:rsid w:val="00A17EB4"/>
    <w:rsid w:val="00A2087A"/>
    <w:rsid w:val="00A20C4A"/>
    <w:rsid w:val="00A233F9"/>
    <w:rsid w:val="00A24C8A"/>
    <w:rsid w:val="00A27745"/>
    <w:rsid w:val="00A33B0B"/>
    <w:rsid w:val="00A34E16"/>
    <w:rsid w:val="00A352F5"/>
    <w:rsid w:val="00A35F88"/>
    <w:rsid w:val="00A3638F"/>
    <w:rsid w:val="00A36C10"/>
    <w:rsid w:val="00A404F1"/>
    <w:rsid w:val="00A4134F"/>
    <w:rsid w:val="00A41365"/>
    <w:rsid w:val="00A46E0C"/>
    <w:rsid w:val="00A470C4"/>
    <w:rsid w:val="00A47596"/>
    <w:rsid w:val="00A47C6F"/>
    <w:rsid w:val="00A509E5"/>
    <w:rsid w:val="00A52778"/>
    <w:rsid w:val="00A542F6"/>
    <w:rsid w:val="00A569CA"/>
    <w:rsid w:val="00A622F8"/>
    <w:rsid w:val="00A62840"/>
    <w:rsid w:val="00A63EA8"/>
    <w:rsid w:val="00A70604"/>
    <w:rsid w:val="00A7167A"/>
    <w:rsid w:val="00A71ADD"/>
    <w:rsid w:val="00A71FB3"/>
    <w:rsid w:val="00A73424"/>
    <w:rsid w:val="00A7642F"/>
    <w:rsid w:val="00A77AF1"/>
    <w:rsid w:val="00A8130C"/>
    <w:rsid w:val="00A8219E"/>
    <w:rsid w:val="00A83E12"/>
    <w:rsid w:val="00A84CF4"/>
    <w:rsid w:val="00A8692B"/>
    <w:rsid w:val="00A87115"/>
    <w:rsid w:val="00A87323"/>
    <w:rsid w:val="00A87D97"/>
    <w:rsid w:val="00A903B7"/>
    <w:rsid w:val="00A91B65"/>
    <w:rsid w:val="00A922C0"/>
    <w:rsid w:val="00A92A49"/>
    <w:rsid w:val="00A93FCB"/>
    <w:rsid w:val="00AA0EC6"/>
    <w:rsid w:val="00AA415F"/>
    <w:rsid w:val="00AA5144"/>
    <w:rsid w:val="00AA62AE"/>
    <w:rsid w:val="00AA747B"/>
    <w:rsid w:val="00AB5DD2"/>
    <w:rsid w:val="00AC7261"/>
    <w:rsid w:val="00AC7416"/>
    <w:rsid w:val="00AD192E"/>
    <w:rsid w:val="00AD2424"/>
    <w:rsid w:val="00AD2920"/>
    <w:rsid w:val="00AD347E"/>
    <w:rsid w:val="00AD4CD7"/>
    <w:rsid w:val="00AD6A22"/>
    <w:rsid w:val="00AE1714"/>
    <w:rsid w:val="00AE18CF"/>
    <w:rsid w:val="00AE357D"/>
    <w:rsid w:val="00AE553E"/>
    <w:rsid w:val="00AE5C2C"/>
    <w:rsid w:val="00AF26E2"/>
    <w:rsid w:val="00AF4EC8"/>
    <w:rsid w:val="00AF5069"/>
    <w:rsid w:val="00B01931"/>
    <w:rsid w:val="00B01C4B"/>
    <w:rsid w:val="00B032D4"/>
    <w:rsid w:val="00B04270"/>
    <w:rsid w:val="00B064EF"/>
    <w:rsid w:val="00B07374"/>
    <w:rsid w:val="00B101F9"/>
    <w:rsid w:val="00B10402"/>
    <w:rsid w:val="00B10710"/>
    <w:rsid w:val="00B116A9"/>
    <w:rsid w:val="00B12E21"/>
    <w:rsid w:val="00B211CC"/>
    <w:rsid w:val="00B22A16"/>
    <w:rsid w:val="00B23513"/>
    <w:rsid w:val="00B260D3"/>
    <w:rsid w:val="00B26148"/>
    <w:rsid w:val="00B264F2"/>
    <w:rsid w:val="00B27BD4"/>
    <w:rsid w:val="00B27D48"/>
    <w:rsid w:val="00B30619"/>
    <w:rsid w:val="00B31386"/>
    <w:rsid w:val="00B33892"/>
    <w:rsid w:val="00B40341"/>
    <w:rsid w:val="00B42A8A"/>
    <w:rsid w:val="00B474BE"/>
    <w:rsid w:val="00B50E49"/>
    <w:rsid w:val="00B526CB"/>
    <w:rsid w:val="00B55D33"/>
    <w:rsid w:val="00B57B36"/>
    <w:rsid w:val="00B61615"/>
    <w:rsid w:val="00B64AA9"/>
    <w:rsid w:val="00B64B65"/>
    <w:rsid w:val="00B65800"/>
    <w:rsid w:val="00B672CD"/>
    <w:rsid w:val="00B72CEC"/>
    <w:rsid w:val="00B73195"/>
    <w:rsid w:val="00B744D3"/>
    <w:rsid w:val="00B74A6D"/>
    <w:rsid w:val="00B75329"/>
    <w:rsid w:val="00B76ACD"/>
    <w:rsid w:val="00B7777C"/>
    <w:rsid w:val="00B777B7"/>
    <w:rsid w:val="00B82C62"/>
    <w:rsid w:val="00B91159"/>
    <w:rsid w:val="00B926E5"/>
    <w:rsid w:val="00B95591"/>
    <w:rsid w:val="00B970B7"/>
    <w:rsid w:val="00BA00A7"/>
    <w:rsid w:val="00BA3187"/>
    <w:rsid w:val="00BA5D12"/>
    <w:rsid w:val="00BB5189"/>
    <w:rsid w:val="00BB5C46"/>
    <w:rsid w:val="00BB7488"/>
    <w:rsid w:val="00BC2865"/>
    <w:rsid w:val="00BC4242"/>
    <w:rsid w:val="00BD1E2A"/>
    <w:rsid w:val="00BD41B7"/>
    <w:rsid w:val="00BD758A"/>
    <w:rsid w:val="00BE35E1"/>
    <w:rsid w:val="00BE3B2E"/>
    <w:rsid w:val="00BE7CA8"/>
    <w:rsid w:val="00BF1786"/>
    <w:rsid w:val="00BF2A80"/>
    <w:rsid w:val="00BF3791"/>
    <w:rsid w:val="00BF3D9B"/>
    <w:rsid w:val="00BF425B"/>
    <w:rsid w:val="00BF7182"/>
    <w:rsid w:val="00BF7524"/>
    <w:rsid w:val="00C0099C"/>
    <w:rsid w:val="00C0297B"/>
    <w:rsid w:val="00C045B0"/>
    <w:rsid w:val="00C07968"/>
    <w:rsid w:val="00C07A4B"/>
    <w:rsid w:val="00C12BB8"/>
    <w:rsid w:val="00C137F0"/>
    <w:rsid w:val="00C13FE3"/>
    <w:rsid w:val="00C16DB4"/>
    <w:rsid w:val="00C174FD"/>
    <w:rsid w:val="00C17B22"/>
    <w:rsid w:val="00C21034"/>
    <w:rsid w:val="00C21E38"/>
    <w:rsid w:val="00C222D1"/>
    <w:rsid w:val="00C231BB"/>
    <w:rsid w:val="00C2377A"/>
    <w:rsid w:val="00C32C3A"/>
    <w:rsid w:val="00C33B20"/>
    <w:rsid w:val="00C347F4"/>
    <w:rsid w:val="00C35B74"/>
    <w:rsid w:val="00C377C8"/>
    <w:rsid w:val="00C409B6"/>
    <w:rsid w:val="00C426B8"/>
    <w:rsid w:val="00C471AF"/>
    <w:rsid w:val="00C500FB"/>
    <w:rsid w:val="00C504C1"/>
    <w:rsid w:val="00C57526"/>
    <w:rsid w:val="00C60DB4"/>
    <w:rsid w:val="00C6114B"/>
    <w:rsid w:val="00C618EF"/>
    <w:rsid w:val="00C62179"/>
    <w:rsid w:val="00C62293"/>
    <w:rsid w:val="00C635FB"/>
    <w:rsid w:val="00C64602"/>
    <w:rsid w:val="00C66860"/>
    <w:rsid w:val="00C72A08"/>
    <w:rsid w:val="00C76371"/>
    <w:rsid w:val="00C7654A"/>
    <w:rsid w:val="00C7688C"/>
    <w:rsid w:val="00C77A5B"/>
    <w:rsid w:val="00C823DC"/>
    <w:rsid w:val="00C82AC0"/>
    <w:rsid w:val="00C85999"/>
    <w:rsid w:val="00C90EFF"/>
    <w:rsid w:val="00C93A5F"/>
    <w:rsid w:val="00C96BD9"/>
    <w:rsid w:val="00CA0C70"/>
    <w:rsid w:val="00CA2A23"/>
    <w:rsid w:val="00CA595B"/>
    <w:rsid w:val="00CB04F7"/>
    <w:rsid w:val="00CB1FE1"/>
    <w:rsid w:val="00CB36FF"/>
    <w:rsid w:val="00CB417F"/>
    <w:rsid w:val="00CB4808"/>
    <w:rsid w:val="00CB5D3B"/>
    <w:rsid w:val="00CB6AB3"/>
    <w:rsid w:val="00CB6CE2"/>
    <w:rsid w:val="00CC0F34"/>
    <w:rsid w:val="00CC10E7"/>
    <w:rsid w:val="00CC167D"/>
    <w:rsid w:val="00CC2742"/>
    <w:rsid w:val="00CC43B6"/>
    <w:rsid w:val="00CC5432"/>
    <w:rsid w:val="00CC6BB9"/>
    <w:rsid w:val="00CC73A8"/>
    <w:rsid w:val="00CD1565"/>
    <w:rsid w:val="00CD18B2"/>
    <w:rsid w:val="00CD1EEE"/>
    <w:rsid w:val="00CD2AF0"/>
    <w:rsid w:val="00CD39EC"/>
    <w:rsid w:val="00CD4B09"/>
    <w:rsid w:val="00CD6401"/>
    <w:rsid w:val="00CE0308"/>
    <w:rsid w:val="00CE03A0"/>
    <w:rsid w:val="00CE0A28"/>
    <w:rsid w:val="00CE2B6F"/>
    <w:rsid w:val="00CE2FE9"/>
    <w:rsid w:val="00CE3E14"/>
    <w:rsid w:val="00CE3FFC"/>
    <w:rsid w:val="00CF2A33"/>
    <w:rsid w:val="00CF48CF"/>
    <w:rsid w:val="00CF48EE"/>
    <w:rsid w:val="00CF504A"/>
    <w:rsid w:val="00CF59A7"/>
    <w:rsid w:val="00CF743B"/>
    <w:rsid w:val="00D040DE"/>
    <w:rsid w:val="00D054E6"/>
    <w:rsid w:val="00D074E1"/>
    <w:rsid w:val="00D1037F"/>
    <w:rsid w:val="00D11CBA"/>
    <w:rsid w:val="00D12A30"/>
    <w:rsid w:val="00D1410B"/>
    <w:rsid w:val="00D14D28"/>
    <w:rsid w:val="00D179CC"/>
    <w:rsid w:val="00D22B7F"/>
    <w:rsid w:val="00D2411B"/>
    <w:rsid w:val="00D26648"/>
    <w:rsid w:val="00D27080"/>
    <w:rsid w:val="00D33EF7"/>
    <w:rsid w:val="00D346D2"/>
    <w:rsid w:val="00D3693F"/>
    <w:rsid w:val="00D41205"/>
    <w:rsid w:val="00D43A79"/>
    <w:rsid w:val="00D45FE5"/>
    <w:rsid w:val="00D46794"/>
    <w:rsid w:val="00D467E3"/>
    <w:rsid w:val="00D52264"/>
    <w:rsid w:val="00D53595"/>
    <w:rsid w:val="00D54FEE"/>
    <w:rsid w:val="00D55502"/>
    <w:rsid w:val="00D55952"/>
    <w:rsid w:val="00D562D2"/>
    <w:rsid w:val="00D616B0"/>
    <w:rsid w:val="00D63544"/>
    <w:rsid w:val="00D65807"/>
    <w:rsid w:val="00D65ADD"/>
    <w:rsid w:val="00D83649"/>
    <w:rsid w:val="00D8594A"/>
    <w:rsid w:val="00D86A9E"/>
    <w:rsid w:val="00D86F3B"/>
    <w:rsid w:val="00D8797A"/>
    <w:rsid w:val="00D922A1"/>
    <w:rsid w:val="00D94834"/>
    <w:rsid w:val="00DA1EBE"/>
    <w:rsid w:val="00DA4427"/>
    <w:rsid w:val="00DA446D"/>
    <w:rsid w:val="00DA7AA9"/>
    <w:rsid w:val="00DB1480"/>
    <w:rsid w:val="00DB276B"/>
    <w:rsid w:val="00DB429C"/>
    <w:rsid w:val="00DC08BB"/>
    <w:rsid w:val="00DC11B6"/>
    <w:rsid w:val="00DC1DB0"/>
    <w:rsid w:val="00DC2638"/>
    <w:rsid w:val="00DC2D00"/>
    <w:rsid w:val="00DC4192"/>
    <w:rsid w:val="00DC4AD1"/>
    <w:rsid w:val="00DC6782"/>
    <w:rsid w:val="00DC77A5"/>
    <w:rsid w:val="00DD034B"/>
    <w:rsid w:val="00DD1A8B"/>
    <w:rsid w:val="00DD2CA4"/>
    <w:rsid w:val="00DD6447"/>
    <w:rsid w:val="00DD676F"/>
    <w:rsid w:val="00DE1EFD"/>
    <w:rsid w:val="00DE223F"/>
    <w:rsid w:val="00DE67CC"/>
    <w:rsid w:val="00DF3677"/>
    <w:rsid w:val="00DF3ECB"/>
    <w:rsid w:val="00DF4543"/>
    <w:rsid w:val="00DF4F17"/>
    <w:rsid w:val="00DF5940"/>
    <w:rsid w:val="00DF74C6"/>
    <w:rsid w:val="00E002AB"/>
    <w:rsid w:val="00E0266B"/>
    <w:rsid w:val="00E07464"/>
    <w:rsid w:val="00E1056E"/>
    <w:rsid w:val="00E116ED"/>
    <w:rsid w:val="00E140AB"/>
    <w:rsid w:val="00E17528"/>
    <w:rsid w:val="00E21252"/>
    <w:rsid w:val="00E2180C"/>
    <w:rsid w:val="00E237CE"/>
    <w:rsid w:val="00E237CF"/>
    <w:rsid w:val="00E247DB"/>
    <w:rsid w:val="00E27AF9"/>
    <w:rsid w:val="00E3177F"/>
    <w:rsid w:val="00E31C81"/>
    <w:rsid w:val="00E31D9E"/>
    <w:rsid w:val="00E342AE"/>
    <w:rsid w:val="00E344FA"/>
    <w:rsid w:val="00E4033E"/>
    <w:rsid w:val="00E4058E"/>
    <w:rsid w:val="00E406B9"/>
    <w:rsid w:val="00E4124C"/>
    <w:rsid w:val="00E42AAD"/>
    <w:rsid w:val="00E42BA6"/>
    <w:rsid w:val="00E42C9F"/>
    <w:rsid w:val="00E4402F"/>
    <w:rsid w:val="00E4409B"/>
    <w:rsid w:val="00E458B0"/>
    <w:rsid w:val="00E50B37"/>
    <w:rsid w:val="00E511C2"/>
    <w:rsid w:val="00E51482"/>
    <w:rsid w:val="00E5391E"/>
    <w:rsid w:val="00E543DA"/>
    <w:rsid w:val="00E576F1"/>
    <w:rsid w:val="00E57B3F"/>
    <w:rsid w:val="00E57D43"/>
    <w:rsid w:val="00E60AFE"/>
    <w:rsid w:val="00E61DB8"/>
    <w:rsid w:val="00E62E28"/>
    <w:rsid w:val="00E65538"/>
    <w:rsid w:val="00E66F3B"/>
    <w:rsid w:val="00E676E9"/>
    <w:rsid w:val="00E74570"/>
    <w:rsid w:val="00E80587"/>
    <w:rsid w:val="00E82E64"/>
    <w:rsid w:val="00E83360"/>
    <w:rsid w:val="00E8443D"/>
    <w:rsid w:val="00E85217"/>
    <w:rsid w:val="00E87130"/>
    <w:rsid w:val="00E915B0"/>
    <w:rsid w:val="00E9281A"/>
    <w:rsid w:val="00E92FBF"/>
    <w:rsid w:val="00E93E85"/>
    <w:rsid w:val="00E971C2"/>
    <w:rsid w:val="00EA06F1"/>
    <w:rsid w:val="00EA07CF"/>
    <w:rsid w:val="00EA130F"/>
    <w:rsid w:val="00EA1B58"/>
    <w:rsid w:val="00EA41B2"/>
    <w:rsid w:val="00EA624E"/>
    <w:rsid w:val="00EB0EA1"/>
    <w:rsid w:val="00EB1D3A"/>
    <w:rsid w:val="00EB247D"/>
    <w:rsid w:val="00EB2E9F"/>
    <w:rsid w:val="00EB3408"/>
    <w:rsid w:val="00EB4409"/>
    <w:rsid w:val="00EB4967"/>
    <w:rsid w:val="00EB6294"/>
    <w:rsid w:val="00EC0FA1"/>
    <w:rsid w:val="00EC18F2"/>
    <w:rsid w:val="00EC21C7"/>
    <w:rsid w:val="00EC291A"/>
    <w:rsid w:val="00EC48EB"/>
    <w:rsid w:val="00EC4AE6"/>
    <w:rsid w:val="00EC5117"/>
    <w:rsid w:val="00EC6F2D"/>
    <w:rsid w:val="00ED23AE"/>
    <w:rsid w:val="00ED3428"/>
    <w:rsid w:val="00ED437D"/>
    <w:rsid w:val="00ED47F8"/>
    <w:rsid w:val="00ED5F10"/>
    <w:rsid w:val="00ED7BE5"/>
    <w:rsid w:val="00ED7CAC"/>
    <w:rsid w:val="00EE3A3D"/>
    <w:rsid w:val="00EE5D53"/>
    <w:rsid w:val="00EE6D8A"/>
    <w:rsid w:val="00EF5EBC"/>
    <w:rsid w:val="00F0019A"/>
    <w:rsid w:val="00F00A19"/>
    <w:rsid w:val="00F0434B"/>
    <w:rsid w:val="00F07033"/>
    <w:rsid w:val="00F07543"/>
    <w:rsid w:val="00F1172E"/>
    <w:rsid w:val="00F1324B"/>
    <w:rsid w:val="00F149B0"/>
    <w:rsid w:val="00F16BE0"/>
    <w:rsid w:val="00F175ED"/>
    <w:rsid w:val="00F22222"/>
    <w:rsid w:val="00F23C0C"/>
    <w:rsid w:val="00F244A1"/>
    <w:rsid w:val="00F24E3D"/>
    <w:rsid w:val="00F262A0"/>
    <w:rsid w:val="00F27532"/>
    <w:rsid w:val="00F319DF"/>
    <w:rsid w:val="00F34A7A"/>
    <w:rsid w:val="00F356A4"/>
    <w:rsid w:val="00F3723C"/>
    <w:rsid w:val="00F37920"/>
    <w:rsid w:val="00F41B95"/>
    <w:rsid w:val="00F4292E"/>
    <w:rsid w:val="00F451B0"/>
    <w:rsid w:val="00F51711"/>
    <w:rsid w:val="00F523BD"/>
    <w:rsid w:val="00F5277E"/>
    <w:rsid w:val="00F53B11"/>
    <w:rsid w:val="00F55308"/>
    <w:rsid w:val="00F553C3"/>
    <w:rsid w:val="00F604CC"/>
    <w:rsid w:val="00F65DA7"/>
    <w:rsid w:val="00F762F4"/>
    <w:rsid w:val="00F77C92"/>
    <w:rsid w:val="00F80220"/>
    <w:rsid w:val="00F80226"/>
    <w:rsid w:val="00F80891"/>
    <w:rsid w:val="00F82FA3"/>
    <w:rsid w:val="00F852B5"/>
    <w:rsid w:val="00F856AD"/>
    <w:rsid w:val="00F85985"/>
    <w:rsid w:val="00F90CF0"/>
    <w:rsid w:val="00F925DC"/>
    <w:rsid w:val="00F93D87"/>
    <w:rsid w:val="00F9438C"/>
    <w:rsid w:val="00F955FF"/>
    <w:rsid w:val="00F96A18"/>
    <w:rsid w:val="00FA0D4C"/>
    <w:rsid w:val="00FA2C92"/>
    <w:rsid w:val="00FA2DE2"/>
    <w:rsid w:val="00FA4A93"/>
    <w:rsid w:val="00FA5D49"/>
    <w:rsid w:val="00FA6A89"/>
    <w:rsid w:val="00FB1C1C"/>
    <w:rsid w:val="00FB2303"/>
    <w:rsid w:val="00FB54D5"/>
    <w:rsid w:val="00FB5CD2"/>
    <w:rsid w:val="00FB645E"/>
    <w:rsid w:val="00FB6FB7"/>
    <w:rsid w:val="00FC5B7D"/>
    <w:rsid w:val="00FC5C46"/>
    <w:rsid w:val="00FC5EC2"/>
    <w:rsid w:val="00FD2000"/>
    <w:rsid w:val="00FD24E6"/>
    <w:rsid w:val="00FD2D58"/>
    <w:rsid w:val="00FD457D"/>
    <w:rsid w:val="00FD768E"/>
    <w:rsid w:val="00FD7E15"/>
    <w:rsid w:val="00FE3149"/>
    <w:rsid w:val="00FE465D"/>
    <w:rsid w:val="00FE4E00"/>
    <w:rsid w:val="00FE5522"/>
    <w:rsid w:val="00FE5742"/>
    <w:rsid w:val="00FE7C5B"/>
    <w:rsid w:val="00FE7E7B"/>
    <w:rsid w:val="00FF0939"/>
    <w:rsid w:val="00FF2604"/>
    <w:rsid w:val="00FF3F6B"/>
    <w:rsid w:val="00FF7A56"/>
    <w:rsid w:val="00FF7DBE"/>
    <w:rsid w:val="010D7FD9"/>
    <w:rsid w:val="01791910"/>
    <w:rsid w:val="018067FB"/>
    <w:rsid w:val="01940FCA"/>
    <w:rsid w:val="01A14F5C"/>
    <w:rsid w:val="01CC5EE4"/>
    <w:rsid w:val="01F71BDA"/>
    <w:rsid w:val="02313F99"/>
    <w:rsid w:val="025A091C"/>
    <w:rsid w:val="026929FF"/>
    <w:rsid w:val="029E1203"/>
    <w:rsid w:val="02D23F88"/>
    <w:rsid w:val="02DA0F38"/>
    <w:rsid w:val="02E92C8D"/>
    <w:rsid w:val="03186031"/>
    <w:rsid w:val="032B053F"/>
    <w:rsid w:val="033E1E33"/>
    <w:rsid w:val="034F2928"/>
    <w:rsid w:val="03565C10"/>
    <w:rsid w:val="037800D1"/>
    <w:rsid w:val="03923DEF"/>
    <w:rsid w:val="03B46C2F"/>
    <w:rsid w:val="03C255BA"/>
    <w:rsid w:val="03EE3FF4"/>
    <w:rsid w:val="04642403"/>
    <w:rsid w:val="04685BE9"/>
    <w:rsid w:val="04716658"/>
    <w:rsid w:val="04B039B6"/>
    <w:rsid w:val="04B45024"/>
    <w:rsid w:val="04D41E22"/>
    <w:rsid w:val="04E8539D"/>
    <w:rsid w:val="0506170D"/>
    <w:rsid w:val="05065BAA"/>
    <w:rsid w:val="052D5E86"/>
    <w:rsid w:val="052D7B5A"/>
    <w:rsid w:val="05340028"/>
    <w:rsid w:val="05465FAD"/>
    <w:rsid w:val="05526FF2"/>
    <w:rsid w:val="05972365"/>
    <w:rsid w:val="05B70EED"/>
    <w:rsid w:val="05D47115"/>
    <w:rsid w:val="05FC567E"/>
    <w:rsid w:val="06646B6C"/>
    <w:rsid w:val="066A25C9"/>
    <w:rsid w:val="067A5586"/>
    <w:rsid w:val="06832493"/>
    <w:rsid w:val="069B7CA9"/>
    <w:rsid w:val="06B4678D"/>
    <w:rsid w:val="06BA7658"/>
    <w:rsid w:val="06C24C31"/>
    <w:rsid w:val="06C32863"/>
    <w:rsid w:val="06D25EAA"/>
    <w:rsid w:val="06F37A6F"/>
    <w:rsid w:val="07260948"/>
    <w:rsid w:val="07502ECA"/>
    <w:rsid w:val="075E2523"/>
    <w:rsid w:val="077F5F69"/>
    <w:rsid w:val="07824CBD"/>
    <w:rsid w:val="079277C2"/>
    <w:rsid w:val="07A30E54"/>
    <w:rsid w:val="07B42F31"/>
    <w:rsid w:val="07C05BA3"/>
    <w:rsid w:val="080E667D"/>
    <w:rsid w:val="08162AB1"/>
    <w:rsid w:val="08302151"/>
    <w:rsid w:val="08876261"/>
    <w:rsid w:val="08B3100B"/>
    <w:rsid w:val="08E510A5"/>
    <w:rsid w:val="09015EB9"/>
    <w:rsid w:val="09067F2D"/>
    <w:rsid w:val="091B377D"/>
    <w:rsid w:val="0966277A"/>
    <w:rsid w:val="097216C0"/>
    <w:rsid w:val="09D763DA"/>
    <w:rsid w:val="09F57A27"/>
    <w:rsid w:val="0A0A75A9"/>
    <w:rsid w:val="0A4510F3"/>
    <w:rsid w:val="0A575092"/>
    <w:rsid w:val="0A7315F2"/>
    <w:rsid w:val="0A871D10"/>
    <w:rsid w:val="0A8A71D2"/>
    <w:rsid w:val="0A910DD6"/>
    <w:rsid w:val="0AB873D7"/>
    <w:rsid w:val="0AD41965"/>
    <w:rsid w:val="0AD854E9"/>
    <w:rsid w:val="0B132422"/>
    <w:rsid w:val="0B2473D6"/>
    <w:rsid w:val="0B2E5767"/>
    <w:rsid w:val="0B311332"/>
    <w:rsid w:val="0B6642EF"/>
    <w:rsid w:val="0B894D25"/>
    <w:rsid w:val="0BAE4204"/>
    <w:rsid w:val="0BCC0382"/>
    <w:rsid w:val="0BD409B6"/>
    <w:rsid w:val="0BFF407B"/>
    <w:rsid w:val="0C092EE5"/>
    <w:rsid w:val="0C0D5915"/>
    <w:rsid w:val="0C4548C9"/>
    <w:rsid w:val="0C4629B1"/>
    <w:rsid w:val="0C4C20FB"/>
    <w:rsid w:val="0C65368E"/>
    <w:rsid w:val="0C865A35"/>
    <w:rsid w:val="0C8702CC"/>
    <w:rsid w:val="0CD847B5"/>
    <w:rsid w:val="0D052106"/>
    <w:rsid w:val="0D0D7738"/>
    <w:rsid w:val="0D1F693A"/>
    <w:rsid w:val="0D241107"/>
    <w:rsid w:val="0D2D16FA"/>
    <w:rsid w:val="0D464EC0"/>
    <w:rsid w:val="0D673A04"/>
    <w:rsid w:val="0D9F408D"/>
    <w:rsid w:val="0DCF2837"/>
    <w:rsid w:val="0E0A0065"/>
    <w:rsid w:val="0E303D9B"/>
    <w:rsid w:val="0E3F39B4"/>
    <w:rsid w:val="0E427B9F"/>
    <w:rsid w:val="0E4D3F08"/>
    <w:rsid w:val="0E4F0D4B"/>
    <w:rsid w:val="0E74072A"/>
    <w:rsid w:val="0E8870D3"/>
    <w:rsid w:val="0E9460CA"/>
    <w:rsid w:val="0EB35B87"/>
    <w:rsid w:val="0EB3632D"/>
    <w:rsid w:val="0EF462A6"/>
    <w:rsid w:val="0F1447FD"/>
    <w:rsid w:val="0F2F05E4"/>
    <w:rsid w:val="0F4B77A5"/>
    <w:rsid w:val="0F7A5BCB"/>
    <w:rsid w:val="0FB748D6"/>
    <w:rsid w:val="0FD447DC"/>
    <w:rsid w:val="0FE61340"/>
    <w:rsid w:val="0FF923A4"/>
    <w:rsid w:val="100F4159"/>
    <w:rsid w:val="102D3CAD"/>
    <w:rsid w:val="1032785A"/>
    <w:rsid w:val="103E4995"/>
    <w:rsid w:val="10727C56"/>
    <w:rsid w:val="107F57D9"/>
    <w:rsid w:val="1091203B"/>
    <w:rsid w:val="10926B16"/>
    <w:rsid w:val="10953945"/>
    <w:rsid w:val="10983529"/>
    <w:rsid w:val="109E0928"/>
    <w:rsid w:val="109E1231"/>
    <w:rsid w:val="10B0475D"/>
    <w:rsid w:val="10C57EA6"/>
    <w:rsid w:val="10D44EB0"/>
    <w:rsid w:val="10F1501F"/>
    <w:rsid w:val="10FB40F0"/>
    <w:rsid w:val="10FD29EF"/>
    <w:rsid w:val="111C66E2"/>
    <w:rsid w:val="11613876"/>
    <w:rsid w:val="11755B31"/>
    <w:rsid w:val="11A170A5"/>
    <w:rsid w:val="11B721A6"/>
    <w:rsid w:val="11E60706"/>
    <w:rsid w:val="1209582B"/>
    <w:rsid w:val="12117161"/>
    <w:rsid w:val="12267A1F"/>
    <w:rsid w:val="122C06F8"/>
    <w:rsid w:val="124061D6"/>
    <w:rsid w:val="124B5E31"/>
    <w:rsid w:val="124F5FED"/>
    <w:rsid w:val="125B5FC0"/>
    <w:rsid w:val="126E1658"/>
    <w:rsid w:val="13125D2C"/>
    <w:rsid w:val="132B7634"/>
    <w:rsid w:val="13566748"/>
    <w:rsid w:val="13C407C9"/>
    <w:rsid w:val="14162B47"/>
    <w:rsid w:val="14162C01"/>
    <w:rsid w:val="14450A2A"/>
    <w:rsid w:val="146C4FF1"/>
    <w:rsid w:val="14974170"/>
    <w:rsid w:val="14B77AD2"/>
    <w:rsid w:val="14C84160"/>
    <w:rsid w:val="14E525C2"/>
    <w:rsid w:val="14F02AA8"/>
    <w:rsid w:val="151C63E2"/>
    <w:rsid w:val="15205ED3"/>
    <w:rsid w:val="152D13FB"/>
    <w:rsid w:val="157123BA"/>
    <w:rsid w:val="157D4664"/>
    <w:rsid w:val="15983F15"/>
    <w:rsid w:val="15A61634"/>
    <w:rsid w:val="15D24D5E"/>
    <w:rsid w:val="15EC5061"/>
    <w:rsid w:val="15FD333B"/>
    <w:rsid w:val="160B0E0E"/>
    <w:rsid w:val="16141DC7"/>
    <w:rsid w:val="161B071C"/>
    <w:rsid w:val="16282D67"/>
    <w:rsid w:val="162A6A22"/>
    <w:rsid w:val="16893F4C"/>
    <w:rsid w:val="16A062A5"/>
    <w:rsid w:val="16A11AA4"/>
    <w:rsid w:val="16D41325"/>
    <w:rsid w:val="16D95A3F"/>
    <w:rsid w:val="174F49CD"/>
    <w:rsid w:val="1767428D"/>
    <w:rsid w:val="17721AED"/>
    <w:rsid w:val="17811AC4"/>
    <w:rsid w:val="1786799F"/>
    <w:rsid w:val="179123C1"/>
    <w:rsid w:val="17A14B54"/>
    <w:rsid w:val="17B34C50"/>
    <w:rsid w:val="18292DFC"/>
    <w:rsid w:val="18475E6C"/>
    <w:rsid w:val="1852125F"/>
    <w:rsid w:val="18567E44"/>
    <w:rsid w:val="1889564E"/>
    <w:rsid w:val="189B6437"/>
    <w:rsid w:val="18CB1086"/>
    <w:rsid w:val="18E018E0"/>
    <w:rsid w:val="18F062E6"/>
    <w:rsid w:val="190C060E"/>
    <w:rsid w:val="196B16E7"/>
    <w:rsid w:val="197C2CB4"/>
    <w:rsid w:val="198D747A"/>
    <w:rsid w:val="19A34E19"/>
    <w:rsid w:val="19D31E8D"/>
    <w:rsid w:val="19E838FB"/>
    <w:rsid w:val="19F54A47"/>
    <w:rsid w:val="19FE092C"/>
    <w:rsid w:val="1A163B8F"/>
    <w:rsid w:val="1A3B69B4"/>
    <w:rsid w:val="1A5D684E"/>
    <w:rsid w:val="1A754B32"/>
    <w:rsid w:val="1A855838"/>
    <w:rsid w:val="1A8C7B66"/>
    <w:rsid w:val="1A901572"/>
    <w:rsid w:val="1A903C86"/>
    <w:rsid w:val="1ABD6A6B"/>
    <w:rsid w:val="1AD42D62"/>
    <w:rsid w:val="1B023A98"/>
    <w:rsid w:val="1B0364FD"/>
    <w:rsid w:val="1B1464DA"/>
    <w:rsid w:val="1B2D3F3A"/>
    <w:rsid w:val="1B3542BF"/>
    <w:rsid w:val="1B366193"/>
    <w:rsid w:val="1B3B6C37"/>
    <w:rsid w:val="1B407B49"/>
    <w:rsid w:val="1B5025ED"/>
    <w:rsid w:val="1B54628B"/>
    <w:rsid w:val="1B6E10DD"/>
    <w:rsid w:val="1B9413C8"/>
    <w:rsid w:val="1BC30D2A"/>
    <w:rsid w:val="1BFE0C6C"/>
    <w:rsid w:val="1C2361BA"/>
    <w:rsid w:val="1C27223D"/>
    <w:rsid w:val="1C4F318B"/>
    <w:rsid w:val="1C502501"/>
    <w:rsid w:val="1C9755B0"/>
    <w:rsid w:val="1CC659B5"/>
    <w:rsid w:val="1D045180"/>
    <w:rsid w:val="1D1803F3"/>
    <w:rsid w:val="1D271DC8"/>
    <w:rsid w:val="1D2E13A9"/>
    <w:rsid w:val="1D3D3D60"/>
    <w:rsid w:val="1D4A11ED"/>
    <w:rsid w:val="1D60042E"/>
    <w:rsid w:val="1D756426"/>
    <w:rsid w:val="1D756FD8"/>
    <w:rsid w:val="1DA03128"/>
    <w:rsid w:val="1DCB6BF8"/>
    <w:rsid w:val="1DCB774C"/>
    <w:rsid w:val="1DD016BE"/>
    <w:rsid w:val="1E065CC5"/>
    <w:rsid w:val="1E087E4C"/>
    <w:rsid w:val="1E5F5CBE"/>
    <w:rsid w:val="1E7063BC"/>
    <w:rsid w:val="1E8E4094"/>
    <w:rsid w:val="1E974E47"/>
    <w:rsid w:val="1EAB0F03"/>
    <w:rsid w:val="1ECB0BFF"/>
    <w:rsid w:val="1ECE031A"/>
    <w:rsid w:val="1ED358C8"/>
    <w:rsid w:val="1F1D6C68"/>
    <w:rsid w:val="1F3F31EA"/>
    <w:rsid w:val="1F464788"/>
    <w:rsid w:val="1F557DD0"/>
    <w:rsid w:val="1F5C0875"/>
    <w:rsid w:val="1F5C4703"/>
    <w:rsid w:val="1F6310A1"/>
    <w:rsid w:val="1F951F9D"/>
    <w:rsid w:val="1F95220D"/>
    <w:rsid w:val="1F9A520B"/>
    <w:rsid w:val="1FB913FE"/>
    <w:rsid w:val="1FBD6093"/>
    <w:rsid w:val="1FCE517A"/>
    <w:rsid w:val="1FD3160C"/>
    <w:rsid w:val="1FE10C2C"/>
    <w:rsid w:val="200C4934"/>
    <w:rsid w:val="205C1920"/>
    <w:rsid w:val="2073114C"/>
    <w:rsid w:val="20757CB1"/>
    <w:rsid w:val="20772CEB"/>
    <w:rsid w:val="207B4584"/>
    <w:rsid w:val="20931040"/>
    <w:rsid w:val="20BF6FCD"/>
    <w:rsid w:val="21100A87"/>
    <w:rsid w:val="21387C2D"/>
    <w:rsid w:val="21457F93"/>
    <w:rsid w:val="21630DE1"/>
    <w:rsid w:val="21633F4C"/>
    <w:rsid w:val="21956884"/>
    <w:rsid w:val="21C86BCF"/>
    <w:rsid w:val="21D44B86"/>
    <w:rsid w:val="21E914AE"/>
    <w:rsid w:val="22233C11"/>
    <w:rsid w:val="22287F00"/>
    <w:rsid w:val="222A65E3"/>
    <w:rsid w:val="222A77F6"/>
    <w:rsid w:val="22585120"/>
    <w:rsid w:val="226A26BC"/>
    <w:rsid w:val="22784898"/>
    <w:rsid w:val="228A6AC7"/>
    <w:rsid w:val="228C453A"/>
    <w:rsid w:val="22C5455D"/>
    <w:rsid w:val="22D32D1C"/>
    <w:rsid w:val="22E366B3"/>
    <w:rsid w:val="22F14E03"/>
    <w:rsid w:val="22F8166B"/>
    <w:rsid w:val="23013C75"/>
    <w:rsid w:val="23305E7B"/>
    <w:rsid w:val="23A75878"/>
    <w:rsid w:val="23CC789C"/>
    <w:rsid w:val="2402719D"/>
    <w:rsid w:val="241E2715"/>
    <w:rsid w:val="243F6C4A"/>
    <w:rsid w:val="244977E5"/>
    <w:rsid w:val="24724271"/>
    <w:rsid w:val="24747FE9"/>
    <w:rsid w:val="24940192"/>
    <w:rsid w:val="24C42D52"/>
    <w:rsid w:val="24F56F32"/>
    <w:rsid w:val="25085CAF"/>
    <w:rsid w:val="25176A87"/>
    <w:rsid w:val="253C64E8"/>
    <w:rsid w:val="255566F6"/>
    <w:rsid w:val="258E03AA"/>
    <w:rsid w:val="25C611D7"/>
    <w:rsid w:val="25D41C9D"/>
    <w:rsid w:val="260709E5"/>
    <w:rsid w:val="26242DD0"/>
    <w:rsid w:val="26303437"/>
    <w:rsid w:val="26355D33"/>
    <w:rsid w:val="2636512A"/>
    <w:rsid w:val="264513CD"/>
    <w:rsid w:val="26467408"/>
    <w:rsid w:val="2647540E"/>
    <w:rsid w:val="267D00A5"/>
    <w:rsid w:val="268705C2"/>
    <w:rsid w:val="2689322D"/>
    <w:rsid w:val="26962499"/>
    <w:rsid w:val="26DE1B47"/>
    <w:rsid w:val="272F66A7"/>
    <w:rsid w:val="273F3B27"/>
    <w:rsid w:val="276B793B"/>
    <w:rsid w:val="277C75F4"/>
    <w:rsid w:val="279B44CD"/>
    <w:rsid w:val="27B222D7"/>
    <w:rsid w:val="27B3138A"/>
    <w:rsid w:val="27BD073B"/>
    <w:rsid w:val="27F143B4"/>
    <w:rsid w:val="281D0DFC"/>
    <w:rsid w:val="28212357"/>
    <w:rsid w:val="2829733C"/>
    <w:rsid w:val="282E547B"/>
    <w:rsid w:val="285661A2"/>
    <w:rsid w:val="28621E4C"/>
    <w:rsid w:val="286B6493"/>
    <w:rsid w:val="286F3CE6"/>
    <w:rsid w:val="28B27332"/>
    <w:rsid w:val="28D336AD"/>
    <w:rsid w:val="28E514B5"/>
    <w:rsid w:val="29347FDE"/>
    <w:rsid w:val="293C6D6C"/>
    <w:rsid w:val="293D5638"/>
    <w:rsid w:val="297B2930"/>
    <w:rsid w:val="297C10FF"/>
    <w:rsid w:val="29E609A1"/>
    <w:rsid w:val="2A0A01D1"/>
    <w:rsid w:val="2A1970F7"/>
    <w:rsid w:val="2A4442F8"/>
    <w:rsid w:val="2A7F4FF2"/>
    <w:rsid w:val="2A88007A"/>
    <w:rsid w:val="2A97058D"/>
    <w:rsid w:val="2B0F6670"/>
    <w:rsid w:val="2B102FB5"/>
    <w:rsid w:val="2B513A1E"/>
    <w:rsid w:val="2B5C5632"/>
    <w:rsid w:val="2B8566E9"/>
    <w:rsid w:val="2B89249A"/>
    <w:rsid w:val="2BC34193"/>
    <w:rsid w:val="2BC77418"/>
    <w:rsid w:val="2BDF1E95"/>
    <w:rsid w:val="2BE86B56"/>
    <w:rsid w:val="2BF732D6"/>
    <w:rsid w:val="2C050403"/>
    <w:rsid w:val="2C136339"/>
    <w:rsid w:val="2C266AE4"/>
    <w:rsid w:val="2C2A71DF"/>
    <w:rsid w:val="2C305F0F"/>
    <w:rsid w:val="2C310A69"/>
    <w:rsid w:val="2C461632"/>
    <w:rsid w:val="2C544F16"/>
    <w:rsid w:val="2C571569"/>
    <w:rsid w:val="2C5F3DF4"/>
    <w:rsid w:val="2C634AF0"/>
    <w:rsid w:val="2C925C8C"/>
    <w:rsid w:val="2CBC077F"/>
    <w:rsid w:val="2CC37AC1"/>
    <w:rsid w:val="2CCB328B"/>
    <w:rsid w:val="2CE97FB6"/>
    <w:rsid w:val="2D3A4BC3"/>
    <w:rsid w:val="2D590722"/>
    <w:rsid w:val="2D601208"/>
    <w:rsid w:val="2D863930"/>
    <w:rsid w:val="2D9D56BC"/>
    <w:rsid w:val="2DA57465"/>
    <w:rsid w:val="2DD60E98"/>
    <w:rsid w:val="2DE610EC"/>
    <w:rsid w:val="2DF6381D"/>
    <w:rsid w:val="2E0874A6"/>
    <w:rsid w:val="2E1817EA"/>
    <w:rsid w:val="2E42701D"/>
    <w:rsid w:val="2E5A67CB"/>
    <w:rsid w:val="2E812749"/>
    <w:rsid w:val="2EB03D2D"/>
    <w:rsid w:val="2ED4251A"/>
    <w:rsid w:val="2EED420A"/>
    <w:rsid w:val="2F01046F"/>
    <w:rsid w:val="2F0957D2"/>
    <w:rsid w:val="2F204FF5"/>
    <w:rsid w:val="2F501AF7"/>
    <w:rsid w:val="2F797671"/>
    <w:rsid w:val="2FA628B5"/>
    <w:rsid w:val="2FC01703"/>
    <w:rsid w:val="2FC10C7B"/>
    <w:rsid w:val="2FF624BE"/>
    <w:rsid w:val="30032224"/>
    <w:rsid w:val="30080716"/>
    <w:rsid w:val="304769A5"/>
    <w:rsid w:val="30486A45"/>
    <w:rsid w:val="305537E5"/>
    <w:rsid w:val="30585B0D"/>
    <w:rsid w:val="305E71E2"/>
    <w:rsid w:val="30931F92"/>
    <w:rsid w:val="30C74A6A"/>
    <w:rsid w:val="30E328D7"/>
    <w:rsid w:val="31002970"/>
    <w:rsid w:val="31656583"/>
    <w:rsid w:val="31657EF3"/>
    <w:rsid w:val="31903B08"/>
    <w:rsid w:val="31E210CB"/>
    <w:rsid w:val="31F356D3"/>
    <w:rsid w:val="31FD7169"/>
    <w:rsid w:val="32143FE8"/>
    <w:rsid w:val="321C46EF"/>
    <w:rsid w:val="322A1CE7"/>
    <w:rsid w:val="323B6E74"/>
    <w:rsid w:val="32535D9C"/>
    <w:rsid w:val="327A0EC0"/>
    <w:rsid w:val="327C3161"/>
    <w:rsid w:val="32A77828"/>
    <w:rsid w:val="32E378CA"/>
    <w:rsid w:val="32F2611C"/>
    <w:rsid w:val="32F31EA6"/>
    <w:rsid w:val="330153FE"/>
    <w:rsid w:val="330E4C4E"/>
    <w:rsid w:val="334E1F7B"/>
    <w:rsid w:val="33F04A0A"/>
    <w:rsid w:val="33F62ED6"/>
    <w:rsid w:val="33FD3B57"/>
    <w:rsid w:val="340567B3"/>
    <w:rsid w:val="340D03F4"/>
    <w:rsid w:val="3435322B"/>
    <w:rsid w:val="345C288A"/>
    <w:rsid w:val="34630E03"/>
    <w:rsid w:val="347100A1"/>
    <w:rsid w:val="348F514A"/>
    <w:rsid w:val="34BD0EF8"/>
    <w:rsid w:val="34D11437"/>
    <w:rsid w:val="34E94843"/>
    <w:rsid w:val="34FD7B87"/>
    <w:rsid w:val="35146AF6"/>
    <w:rsid w:val="35300A8B"/>
    <w:rsid w:val="35324954"/>
    <w:rsid w:val="356B105B"/>
    <w:rsid w:val="35817744"/>
    <w:rsid w:val="35895362"/>
    <w:rsid w:val="359202CF"/>
    <w:rsid w:val="35961C16"/>
    <w:rsid w:val="35B62255"/>
    <w:rsid w:val="35D579E0"/>
    <w:rsid w:val="35EF3F1C"/>
    <w:rsid w:val="35FC7A86"/>
    <w:rsid w:val="3607115F"/>
    <w:rsid w:val="362532D1"/>
    <w:rsid w:val="36313D8E"/>
    <w:rsid w:val="364E24FC"/>
    <w:rsid w:val="36584D63"/>
    <w:rsid w:val="3699519F"/>
    <w:rsid w:val="36AF6C5F"/>
    <w:rsid w:val="36B349A1"/>
    <w:rsid w:val="36C46BAE"/>
    <w:rsid w:val="36CA0E08"/>
    <w:rsid w:val="36E47B9D"/>
    <w:rsid w:val="36F05BAE"/>
    <w:rsid w:val="3701395E"/>
    <w:rsid w:val="37047ECB"/>
    <w:rsid w:val="37366A91"/>
    <w:rsid w:val="373D5BFC"/>
    <w:rsid w:val="375F0685"/>
    <w:rsid w:val="379765A7"/>
    <w:rsid w:val="37C83693"/>
    <w:rsid w:val="37F5128A"/>
    <w:rsid w:val="381A118F"/>
    <w:rsid w:val="38246E96"/>
    <w:rsid w:val="385B4329"/>
    <w:rsid w:val="38AC7189"/>
    <w:rsid w:val="38BB5527"/>
    <w:rsid w:val="38C42E95"/>
    <w:rsid w:val="38EA11EC"/>
    <w:rsid w:val="397523E2"/>
    <w:rsid w:val="39907A37"/>
    <w:rsid w:val="39AF6E94"/>
    <w:rsid w:val="39C10E6C"/>
    <w:rsid w:val="39D236E8"/>
    <w:rsid w:val="39D62F96"/>
    <w:rsid w:val="39DD3518"/>
    <w:rsid w:val="3A0A0D7C"/>
    <w:rsid w:val="3A230C42"/>
    <w:rsid w:val="3A3A7D8E"/>
    <w:rsid w:val="3A6366DE"/>
    <w:rsid w:val="3A68401C"/>
    <w:rsid w:val="3A6931B5"/>
    <w:rsid w:val="3AAE4F51"/>
    <w:rsid w:val="3AC0768C"/>
    <w:rsid w:val="3AC820C1"/>
    <w:rsid w:val="3AD32514"/>
    <w:rsid w:val="3B0A7799"/>
    <w:rsid w:val="3B182D25"/>
    <w:rsid w:val="3B2073B8"/>
    <w:rsid w:val="3B387B37"/>
    <w:rsid w:val="3B3935E2"/>
    <w:rsid w:val="3B3B4A8B"/>
    <w:rsid w:val="3B456E4D"/>
    <w:rsid w:val="3B4D420E"/>
    <w:rsid w:val="3B554EC7"/>
    <w:rsid w:val="3B5C58CA"/>
    <w:rsid w:val="3B8E4CC3"/>
    <w:rsid w:val="3BA56D03"/>
    <w:rsid w:val="3BC767F9"/>
    <w:rsid w:val="3BDA29D0"/>
    <w:rsid w:val="3C0F179A"/>
    <w:rsid w:val="3C4F1255"/>
    <w:rsid w:val="3C595051"/>
    <w:rsid w:val="3C5D0B2D"/>
    <w:rsid w:val="3C682428"/>
    <w:rsid w:val="3C7C6D5F"/>
    <w:rsid w:val="3C9825B7"/>
    <w:rsid w:val="3C991147"/>
    <w:rsid w:val="3CA01523"/>
    <w:rsid w:val="3CBC0178"/>
    <w:rsid w:val="3CC94A4B"/>
    <w:rsid w:val="3D1D3A59"/>
    <w:rsid w:val="3D2405DC"/>
    <w:rsid w:val="3D2C725B"/>
    <w:rsid w:val="3D43384B"/>
    <w:rsid w:val="3D522E84"/>
    <w:rsid w:val="3D9023B0"/>
    <w:rsid w:val="3DCD2FF3"/>
    <w:rsid w:val="3DDC3773"/>
    <w:rsid w:val="3DE72D87"/>
    <w:rsid w:val="3DEA67CE"/>
    <w:rsid w:val="3E0272CF"/>
    <w:rsid w:val="3E29379B"/>
    <w:rsid w:val="3E562B07"/>
    <w:rsid w:val="3E645DA3"/>
    <w:rsid w:val="3E946E66"/>
    <w:rsid w:val="3E990920"/>
    <w:rsid w:val="3ED26F30"/>
    <w:rsid w:val="3F423179"/>
    <w:rsid w:val="3F5A0652"/>
    <w:rsid w:val="3F980472"/>
    <w:rsid w:val="3F9B1FC7"/>
    <w:rsid w:val="3FA267B8"/>
    <w:rsid w:val="3FB93A3A"/>
    <w:rsid w:val="3FF87DCB"/>
    <w:rsid w:val="40154BDB"/>
    <w:rsid w:val="401B0B4A"/>
    <w:rsid w:val="40215161"/>
    <w:rsid w:val="404C06A4"/>
    <w:rsid w:val="404C62D3"/>
    <w:rsid w:val="40571069"/>
    <w:rsid w:val="408F1FDB"/>
    <w:rsid w:val="40D13AAD"/>
    <w:rsid w:val="40D5671E"/>
    <w:rsid w:val="40E973FD"/>
    <w:rsid w:val="410E286C"/>
    <w:rsid w:val="41136CD0"/>
    <w:rsid w:val="411E5C3E"/>
    <w:rsid w:val="41414AAA"/>
    <w:rsid w:val="41523BBA"/>
    <w:rsid w:val="415A784B"/>
    <w:rsid w:val="41650F8E"/>
    <w:rsid w:val="41BF5502"/>
    <w:rsid w:val="41C639F2"/>
    <w:rsid w:val="41C7225D"/>
    <w:rsid w:val="420810FF"/>
    <w:rsid w:val="420A71FB"/>
    <w:rsid w:val="42161379"/>
    <w:rsid w:val="422B3173"/>
    <w:rsid w:val="424362B7"/>
    <w:rsid w:val="42516643"/>
    <w:rsid w:val="425A1D85"/>
    <w:rsid w:val="427B20EB"/>
    <w:rsid w:val="427F5EC1"/>
    <w:rsid w:val="429A5306"/>
    <w:rsid w:val="42A07843"/>
    <w:rsid w:val="42C80376"/>
    <w:rsid w:val="42F9198D"/>
    <w:rsid w:val="43054A1A"/>
    <w:rsid w:val="431B31A5"/>
    <w:rsid w:val="43270E87"/>
    <w:rsid w:val="43493E11"/>
    <w:rsid w:val="43993FD6"/>
    <w:rsid w:val="43BD4FD6"/>
    <w:rsid w:val="43E71994"/>
    <w:rsid w:val="443C4228"/>
    <w:rsid w:val="447A4FB3"/>
    <w:rsid w:val="44825BE7"/>
    <w:rsid w:val="448C1D82"/>
    <w:rsid w:val="44C46737"/>
    <w:rsid w:val="44C9455B"/>
    <w:rsid w:val="44D264B4"/>
    <w:rsid w:val="44D779BA"/>
    <w:rsid w:val="45020430"/>
    <w:rsid w:val="452E518F"/>
    <w:rsid w:val="45603434"/>
    <w:rsid w:val="45733B41"/>
    <w:rsid w:val="45827C46"/>
    <w:rsid w:val="45980EC3"/>
    <w:rsid w:val="45A602D1"/>
    <w:rsid w:val="45C76B8B"/>
    <w:rsid w:val="45D63A95"/>
    <w:rsid w:val="45F2294E"/>
    <w:rsid w:val="46036517"/>
    <w:rsid w:val="46182A32"/>
    <w:rsid w:val="46226391"/>
    <w:rsid w:val="4653270C"/>
    <w:rsid w:val="465E3302"/>
    <w:rsid w:val="46717CBB"/>
    <w:rsid w:val="46852255"/>
    <w:rsid w:val="469320F9"/>
    <w:rsid w:val="469D0869"/>
    <w:rsid w:val="46C86AD4"/>
    <w:rsid w:val="46C93927"/>
    <w:rsid w:val="470879F5"/>
    <w:rsid w:val="471D1D43"/>
    <w:rsid w:val="471D61CE"/>
    <w:rsid w:val="471F2E40"/>
    <w:rsid w:val="47633879"/>
    <w:rsid w:val="4775193D"/>
    <w:rsid w:val="47C135D1"/>
    <w:rsid w:val="47D450AB"/>
    <w:rsid w:val="47DC5FFF"/>
    <w:rsid w:val="480A63EB"/>
    <w:rsid w:val="48197A48"/>
    <w:rsid w:val="48740317"/>
    <w:rsid w:val="4888168E"/>
    <w:rsid w:val="48AD6E00"/>
    <w:rsid w:val="48C735F2"/>
    <w:rsid w:val="48D447C5"/>
    <w:rsid w:val="48E0470A"/>
    <w:rsid w:val="48EB621C"/>
    <w:rsid w:val="492D7395"/>
    <w:rsid w:val="49437E06"/>
    <w:rsid w:val="49897E55"/>
    <w:rsid w:val="498B1296"/>
    <w:rsid w:val="499955A0"/>
    <w:rsid w:val="49BF1503"/>
    <w:rsid w:val="49E15DA4"/>
    <w:rsid w:val="49EB4886"/>
    <w:rsid w:val="4A0A2668"/>
    <w:rsid w:val="4A205294"/>
    <w:rsid w:val="4A2A0817"/>
    <w:rsid w:val="4A472C6B"/>
    <w:rsid w:val="4AE66C9B"/>
    <w:rsid w:val="4B1E4B4A"/>
    <w:rsid w:val="4B3C24D4"/>
    <w:rsid w:val="4B3F2B00"/>
    <w:rsid w:val="4B8964BC"/>
    <w:rsid w:val="4B944949"/>
    <w:rsid w:val="4BA86A0E"/>
    <w:rsid w:val="4BB97E25"/>
    <w:rsid w:val="4C105593"/>
    <w:rsid w:val="4C204780"/>
    <w:rsid w:val="4C43492C"/>
    <w:rsid w:val="4C6C308B"/>
    <w:rsid w:val="4C6C38EE"/>
    <w:rsid w:val="4C7107E7"/>
    <w:rsid w:val="4C787385"/>
    <w:rsid w:val="4C8A554B"/>
    <w:rsid w:val="4C8E3A44"/>
    <w:rsid w:val="4C9A533B"/>
    <w:rsid w:val="4CE812A0"/>
    <w:rsid w:val="4CEC5D24"/>
    <w:rsid w:val="4D1B2A1B"/>
    <w:rsid w:val="4D1E28AA"/>
    <w:rsid w:val="4D53613E"/>
    <w:rsid w:val="4D723ECA"/>
    <w:rsid w:val="4D8B1D7C"/>
    <w:rsid w:val="4D9C2BBF"/>
    <w:rsid w:val="4DCE5FE1"/>
    <w:rsid w:val="4DF542F3"/>
    <w:rsid w:val="4E471CC4"/>
    <w:rsid w:val="4E563A34"/>
    <w:rsid w:val="4E592FB3"/>
    <w:rsid w:val="4E6E5D50"/>
    <w:rsid w:val="4E9133C2"/>
    <w:rsid w:val="4ECC7F56"/>
    <w:rsid w:val="4ECE1A58"/>
    <w:rsid w:val="4F732251"/>
    <w:rsid w:val="4F9165DF"/>
    <w:rsid w:val="4F9F566B"/>
    <w:rsid w:val="4FFF6AF6"/>
    <w:rsid w:val="5004273E"/>
    <w:rsid w:val="50121BBE"/>
    <w:rsid w:val="501C315F"/>
    <w:rsid w:val="501F267E"/>
    <w:rsid w:val="50414599"/>
    <w:rsid w:val="50537CB5"/>
    <w:rsid w:val="50577CF3"/>
    <w:rsid w:val="50693851"/>
    <w:rsid w:val="50755F38"/>
    <w:rsid w:val="508F1BE4"/>
    <w:rsid w:val="50974306"/>
    <w:rsid w:val="51001140"/>
    <w:rsid w:val="512E60BF"/>
    <w:rsid w:val="513C0363"/>
    <w:rsid w:val="51402CDD"/>
    <w:rsid w:val="515737ED"/>
    <w:rsid w:val="51742D65"/>
    <w:rsid w:val="51833CE3"/>
    <w:rsid w:val="51914ADE"/>
    <w:rsid w:val="51A2525B"/>
    <w:rsid w:val="51E55D6B"/>
    <w:rsid w:val="51F40559"/>
    <w:rsid w:val="521440A4"/>
    <w:rsid w:val="523876B1"/>
    <w:rsid w:val="52487F19"/>
    <w:rsid w:val="526A261A"/>
    <w:rsid w:val="52781998"/>
    <w:rsid w:val="52AD1F2C"/>
    <w:rsid w:val="52AF29D0"/>
    <w:rsid w:val="52B513BE"/>
    <w:rsid w:val="52B72CCB"/>
    <w:rsid w:val="52B82839"/>
    <w:rsid w:val="52C56F9E"/>
    <w:rsid w:val="53211D72"/>
    <w:rsid w:val="533267F6"/>
    <w:rsid w:val="53344B5C"/>
    <w:rsid w:val="535A6478"/>
    <w:rsid w:val="5378399B"/>
    <w:rsid w:val="53870EAE"/>
    <w:rsid w:val="53994EB3"/>
    <w:rsid w:val="53AB0A82"/>
    <w:rsid w:val="53C51284"/>
    <w:rsid w:val="53D96475"/>
    <w:rsid w:val="5401794A"/>
    <w:rsid w:val="54027FF7"/>
    <w:rsid w:val="5403552B"/>
    <w:rsid w:val="54062CA5"/>
    <w:rsid w:val="540849A3"/>
    <w:rsid w:val="54587111"/>
    <w:rsid w:val="5472334E"/>
    <w:rsid w:val="54791BE5"/>
    <w:rsid w:val="548A6BD8"/>
    <w:rsid w:val="54AD0082"/>
    <w:rsid w:val="54B204FD"/>
    <w:rsid w:val="54DD4AFB"/>
    <w:rsid w:val="54E95C7E"/>
    <w:rsid w:val="54F8408A"/>
    <w:rsid w:val="552D0EE1"/>
    <w:rsid w:val="553853ED"/>
    <w:rsid w:val="555F75B0"/>
    <w:rsid w:val="557E18C6"/>
    <w:rsid w:val="55947B31"/>
    <w:rsid w:val="55E850CB"/>
    <w:rsid w:val="56426A13"/>
    <w:rsid w:val="56707EE0"/>
    <w:rsid w:val="567579CD"/>
    <w:rsid w:val="569C0B56"/>
    <w:rsid w:val="56A62938"/>
    <w:rsid w:val="56B86908"/>
    <w:rsid w:val="56DC5010"/>
    <w:rsid w:val="56FF195F"/>
    <w:rsid w:val="57174680"/>
    <w:rsid w:val="573273F0"/>
    <w:rsid w:val="573F3A30"/>
    <w:rsid w:val="57410508"/>
    <w:rsid w:val="57437D8F"/>
    <w:rsid w:val="574A1DC1"/>
    <w:rsid w:val="578741D8"/>
    <w:rsid w:val="579018A9"/>
    <w:rsid w:val="57B80204"/>
    <w:rsid w:val="57C71450"/>
    <w:rsid w:val="57D65228"/>
    <w:rsid w:val="57FB365A"/>
    <w:rsid w:val="580C7901"/>
    <w:rsid w:val="5816652F"/>
    <w:rsid w:val="583B5D79"/>
    <w:rsid w:val="58B23FB9"/>
    <w:rsid w:val="58BA52C3"/>
    <w:rsid w:val="58DA7055"/>
    <w:rsid w:val="591A3BD8"/>
    <w:rsid w:val="5929089A"/>
    <w:rsid w:val="596012BE"/>
    <w:rsid w:val="597E70D4"/>
    <w:rsid w:val="59BE0931"/>
    <w:rsid w:val="59BE6602"/>
    <w:rsid w:val="59E42CF3"/>
    <w:rsid w:val="5A112235"/>
    <w:rsid w:val="5A201A9E"/>
    <w:rsid w:val="5A7A2512"/>
    <w:rsid w:val="5AA67AA1"/>
    <w:rsid w:val="5AC4691D"/>
    <w:rsid w:val="5AD64FBB"/>
    <w:rsid w:val="5B123849"/>
    <w:rsid w:val="5B386B34"/>
    <w:rsid w:val="5B3C18ED"/>
    <w:rsid w:val="5B664FEC"/>
    <w:rsid w:val="5B6B7582"/>
    <w:rsid w:val="5B846E86"/>
    <w:rsid w:val="5B9D4D78"/>
    <w:rsid w:val="5BE05FF4"/>
    <w:rsid w:val="5C08720C"/>
    <w:rsid w:val="5C0B54EE"/>
    <w:rsid w:val="5C0C370B"/>
    <w:rsid w:val="5C1156A9"/>
    <w:rsid w:val="5C2D4268"/>
    <w:rsid w:val="5C356C8B"/>
    <w:rsid w:val="5C3F26AF"/>
    <w:rsid w:val="5C534247"/>
    <w:rsid w:val="5C5A112F"/>
    <w:rsid w:val="5C7C237D"/>
    <w:rsid w:val="5C943143"/>
    <w:rsid w:val="5C9E4AD9"/>
    <w:rsid w:val="5CE172C2"/>
    <w:rsid w:val="5CF8455E"/>
    <w:rsid w:val="5D6D6B38"/>
    <w:rsid w:val="5D6F18F0"/>
    <w:rsid w:val="5D8C3B7D"/>
    <w:rsid w:val="5D8F5D8E"/>
    <w:rsid w:val="5D97686B"/>
    <w:rsid w:val="5DC6470A"/>
    <w:rsid w:val="5E03770C"/>
    <w:rsid w:val="5E134A8A"/>
    <w:rsid w:val="5E1753F6"/>
    <w:rsid w:val="5E2A4C99"/>
    <w:rsid w:val="5E4129DB"/>
    <w:rsid w:val="5E517D25"/>
    <w:rsid w:val="5E55347F"/>
    <w:rsid w:val="5E570978"/>
    <w:rsid w:val="5E604B5F"/>
    <w:rsid w:val="5E7B52D0"/>
    <w:rsid w:val="5E925E3A"/>
    <w:rsid w:val="5EB053B0"/>
    <w:rsid w:val="5EBF1885"/>
    <w:rsid w:val="5EC62675"/>
    <w:rsid w:val="5ECC1F13"/>
    <w:rsid w:val="5F01496B"/>
    <w:rsid w:val="5F071D35"/>
    <w:rsid w:val="5F212CA2"/>
    <w:rsid w:val="5F5733EF"/>
    <w:rsid w:val="5F62370B"/>
    <w:rsid w:val="5F773E4B"/>
    <w:rsid w:val="5FB4304D"/>
    <w:rsid w:val="5FF42262"/>
    <w:rsid w:val="602C2F4B"/>
    <w:rsid w:val="60391981"/>
    <w:rsid w:val="60615749"/>
    <w:rsid w:val="606C4D84"/>
    <w:rsid w:val="608F65AD"/>
    <w:rsid w:val="60CE5DB0"/>
    <w:rsid w:val="60FF4F40"/>
    <w:rsid w:val="61204966"/>
    <w:rsid w:val="61822812"/>
    <w:rsid w:val="61832A76"/>
    <w:rsid w:val="61865971"/>
    <w:rsid w:val="619571C3"/>
    <w:rsid w:val="61A33ED6"/>
    <w:rsid w:val="61F248D2"/>
    <w:rsid w:val="61FF72C4"/>
    <w:rsid w:val="6213552F"/>
    <w:rsid w:val="62163646"/>
    <w:rsid w:val="62525C71"/>
    <w:rsid w:val="625911EA"/>
    <w:rsid w:val="625D388F"/>
    <w:rsid w:val="627247FC"/>
    <w:rsid w:val="627B3675"/>
    <w:rsid w:val="6283706E"/>
    <w:rsid w:val="62BF5407"/>
    <w:rsid w:val="63151C13"/>
    <w:rsid w:val="63302E08"/>
    <w:rsid w:val="63646599"/>
    <w:rsid w:val="636813A7"/>
    <w:rsid w:val="637469CD"/>
    <w:rsid w:val="639449F2"/>
    <w:rsid w:val="639C72CB"/>
    <w:rsid w:val="63A729E9"/>
    <w:rsid w:val="63B70D7D"/>
    <w:rsid w:val="63C41329"/>
    <w:rsid w:val="63D77671"/>
    <w:rsid w:val="6423770C"/>
    <w:rsid w:val="6429154F"/>
    <w:rsid w:val="6432440F"/>
    <w:rsid w:val="646D78CD"/>
    <w:rsid w:val="64A5552C"/>
    <w:rsid w:val="64BF134B"/>
    <w:rsid w:val="64C73242"/>
    <w:rsid w:val="64DC400E"/>
    <w:rsid w:val="64EF19DB"/>
    <w:rsid w:val="65195973"/>
    <w:rsid w:val="65221E93"/>
    <w:rsid w:val="65665A41"/>
    <w:rsid w:val="659200B7"/>
    <w:rsid w:val="65C470E0"/>
    <w:rsid w:val="65F64872"/>
    <w:rsid w:val="660A4ABC"/>
    <w:rsid w:val="660C2A0E"/>
    <w:rsid w:val="665A5B37"/>
    <w:rsid w:val="6699753A"/>
    <w:rsid w:val="66AD1184"/>
    <w:rsid w:val="66AD3C4D"/>
    <w:rsid w:val="66CD530D"/>
    <w:rsid w:val="671068BE"/>
    <w:rsid w:val="67AF00A6"/>
    <w:rsid w:val="67BA33FC"/>
    <w:rsid w:val="67BB4BB4"/>
    <w:rsid w:val="67ED694D"/>
    <w:rsid w:val="681364CD"/>
    <w:rsid w:val="686B6B5C"/>
    <w:rsid w:val="68A941E5"/>
    <w:rsid w:val="68C06926"/>
    <w:rsid w:val="68C4439B"/>
    <w:rsid w:val="68D77510"/>
    <w:rsid w:val="68EB3277"/>
    <w:rsid w:val="68F97A48"/>
    <w:rsid w:val="690D5E86"/>
    <w:rsid w:val="6925282D"/>
    <w:rsid w:val="69263203"/>
    <w:rsid w:val="692A7DC8"/>
    <w:rsid w:val="697A6D19"/>
    <w:rsid w:val="698A7C12"/>
    <w:rsid w:val="6991370F"/>
    <w:rsid w:val="69D106BF"/>
    <w:rsid w:val="69FB3A26"/>
    <w:rsid w:val="6A266A0F"/>
    <w:rsid w:val="6A3178CD"/>
    <w:rsid w:val="6A504820"/>
    <w:rsid w:val="6A5D1F52"/>
    <w:rsid w:val="6A8A30E2"/>
    <w:rsid w:val="6A9D78FE"/>
    <w:rsid w:val="6AAE4FAA"/>
    <w:rsid w:val="6ABA61BB"/>
    <w:rsid w:val="6ADA6E56"/>
    <w:rsid w:val="6B034505"/>
    <w:rsid w:val="6B064398"/>
    <w:rsid w:val="6B102F0D"/>
    <w:rsid w:val="6B157742"/>
    <w:rsid w:val="6B2A452A"/>
    <w:rsid w:val="6B2E26C5"/>
    <w:rsid w:val="6B3F23AF"/>
    <w:rsid w:val="6B5F3DBC"/>
    <w:rsid w:val="6B6C4B43"/>
    <w:rsid w:val="6B750902"/>
    <w:rsid w:val="6BB069A1"/>
    <w:rsid w:val="6BB9504A"/>
    <w:rsid w:val="6BBB0A8E"/>
    <w:rsid w:val="6BC16C4E"/>
    <w:rsid w:val="6BCE4782"/>
    <w:rsid w:val="6C330F1C"/>
    <w:rsid w:val="6C6D0DD6"/>
    <w:rsid w:val="6C7D4B2E"/>
    <w:rsid w:val="6CBD79E6"/>
    <w:rsid w:val="6CDE4B67"/>
    <w:rsid w:val="6CF13E9A"/>
    <w:rsid w:val="6CFA1CDB"/>
    <w:rsid w:val="6D090AE4"/>
    <w:rsid w:val="6D0B1173"/>
    <w:rsid w:val="6D211EDD"/>
    <w:rsid w:val="6D216741"/>
    <w:rsid w:val="6D3D0AE8"/>
    <w:rsid w:val="6D400349"/>
    <w:rsid w:val="6D472A65"/>
    <w:rsid w:val="6D7E72DC"/>
    <w:rsid w:val="6D8049B5"/>
    <w:rsid w:val="6D8A175D"/>
    <w:rsid w:val="6D8C4654"/>
    <w:rsid w:val="6D9D5488"/>
    <w:rsid w:val="6DA1296C"/>
    <w:rsid w:val="6DA170E8"/>
    <w:rsid w:val="6DB80168"/>
    <w:rsid w:val="6DC01176"/>
    <w:rsid w:val="6DE27C96"/>
    <w:rsid w:val="6E2C7F2B"/>
    <w:rsid w:val="6E472D15"/>
    <w:rsid w:val="6ED65590"/>
    <w:rsid w:val="6EEB6016"/>
    <w:rsid w:val="6F532332"/>
    <w:rsid w:val="6F7D42C6"/>
    <w:rsid w:val="6F7E23F3"/>
    <w:rsid w:val="6F7F6679"/>
    <w:rsid w:val="6F870F73"/>
    <w:rsid w:val="6F882533"/>
    <w:rsid w:val="6F9A33E9"/>
    <w:rsid w:val="6FAB7606"/>
    <w:rsid w:val="6FEA072C"/>
    <w:rsid w:val="6FED3591"/>
    <w:rsid w:val="6FFD7DB8"/>
    <w:rsid w:val="70027CE9"/>
    <w:rsid w:val="700C78FC"/>
    <w:rsid w:val="70393102"/>
    <w:rsid w:val="70705B01"/>
    <w:rsid w:val="7076085F"/>
    <w:rsid w:val="707E5B31"/>
    <w:rsid w:val="709222E2"/>
    <w:rsid w:val="709B05CB"/>
    <w:rsid w:val="70C42D2B"/>
    <w:rsid w:val="70DA40DF"/>
    <w:rsid w:val="70F80C27"/>
    <w:rsid w:val="70FA04FB"/>
    <w:rsid w:val="7159141D"/>
    <w:rsid w:val="71623285"/>
    <w:rsid w:val="71793FCD"/>
    <w:rsid w:val="71B8669C"/>
    <w:rsid w:val="71EC213B"/>
    <w:rsid w:val="72161C49"/>
    <w:rsid w:val="72231CD3"/>
    <w:rsid w:val="724E7646"/>
    <w:rsid w:val="725701D1"/>
    <w:rsid w:val="728A066E"/>
    <w:rsid w:val="7296248F"/>
    <w:rsid w:val="72C40600"/>
    <w:rsid w:val="733F20EE"/>
    <w:rsid w:val="73700F48"/>
    <w:rsid w:val="73B1065D"/>
    <w:rsid w:val="73BA1E9B"/>
    <w:rsid w:val="73C11535"/>
    <w:rsid w:val="73C37C82"/>
    <w:rsid w:val="73CE6C4A"/>
    <w:rsid w:val="73DD25F8"/>
    <w:rsid w:val="73E060CE"/>
    <w:rsid w:val="73E54AED"/>
    <w:rsid w:val="73E82D35"/>
    <w:rsid w:val="740451AA"/>
    <w:rsid w:val="740F0137"/>
    <w:rsid w:val="74460A27"/>
    <w:rsid w:val="744979C8"/>
    <w:rsid w:val="74C055C6"/>
    <w:rsid w:val="74C07CAE"/>
    <w:rsid w:val="7500388B"/>
    <w:rsid w:val="751F14A5"/>
    <w:rsid w:val="75417FF9"/>
    <w:rsid w:val="758F436B"/>
    <w:rsid w:val="759F48F6"/>
    <w:rsid w:val="75CC7278"/>
    <w:rsid w:val="75CE63A6"/>
    <w:rsid w:val="75DE488F"/>
    <w:rsid w:val="75F90C51"/>
    <w:rsid w:val="75FC6AC3"/>
    <w:rsid w:val="761D02BF"/>
    <w:rsid w:val="761E6A3A"/>
    <w:rsid w:val="76213D87"/>
    <w:rsid w:val="7662101C"/>
    <w:rsid w:val="7664431D"/>
    <w:rsid w:val="76683299"/>
    <w:rsid w:val="767505E6"/>
    <w:rsid w:val="76902AFD"/>
    <w:rsid w:val="76C72CC4"/>
    <w:rsid w:val="76E674E1"/>
    <w:rsid w:val="76F345E7"/>
    <w:rsid w:val="77095483"/>
    <w:rsid w:val="773854E1"/>
    <w:rsid w:val="773D6A42"/>
    <w:rsid w:val="774C42B4"/>
    <w:rsid w:val="775D3F96"/>
    <w:rsid w:val="77626998"/>
    <w:rsid w:val="77635A31"/>
    <w:rsid w:val="77B87D20"/>
    <w:rsid w:val="77D00A8D"/>
    <w:rsid w:val="7834248B"/>
    <w:rsid w:val="784146DE"/>
    <w:rsid w:val="787959C5"/>
    <w:rsid w:val="78A31478"/>
    <w:rsid w:val="78B77F23"/>
    <w:rsid w:val="78D7130C"/>
    <w:rsid w:val="78DE7A3D"/>
    <w:rsid w:val="79282414"/>
    <w:rsid w:val="79352EE7"/>
    <w:rsid w:val="796B5F02"/>
    <w:rsid w:val="799476E6"/>
    <w:rsid w:val="79982F8C"/>
    <w:rsid w:val="79A70350"/>
    <w:rsid w:val="79B53B59"/>
    <w:rsid w:val="79BC6D80"/>
    <w:rsid w:val="79DA0722"/>
    <w:rsid w:val="7A0F316A"/>
    <w:rsid w:val="7A161136"/>
    <w:rsid w:val="7A38745D"/>
    <w:rsid w:val="7A3F5D1A"/>
    <w:rsid w:val="7A5C3FD5"/>
    <w:rsid w:val="7A6B7B4F"/>
    <w:rsid w:val="7A731E55"/>
    <w:rsid w:val="7A7D10DE"/>
    <w:rsid w:val="7A816ADB"/>
    <w:rsid w:val="7A9547E7"/>
    <w:rsid w:val="7AAB563F"/>
    <w:rsid w:val="7AAE2832"/>
    <w:rsid w:val="7AC21775"/>
    <w:rsid w:val="7AC65550"/>
    <w:rsid w:val="7AD87AFF"/>
    <w:rsid w:val="7AEA2C12"/>
    <w:rsid w:val="7B116D30"/>
    <w:rsid w:val="7B1227F8"/>
    <w:rsid w:val="7B38067F"/>
    <w:rsid w:val="7B4211FF"/>
    <w:rsid w:val="7B4512DD"/>
    <w:rsid w:val="7B533262"/>
    <w:rsid w:val="7B781F73"/>
    <w:rsid w:val="7B9C247A"/>
    <w:rsid w:val="7BA26A6B"/>
    <w:rsid w:val="7BB265A2"/>
    <w:rsid w:val="7BC32309"/>
    <w:rsid w:val="7BDA3C38"/>
    <w:rsid w:val="7C2B0D47"/>
    <w:rsid w:val="7C2D09C7"/>
    <w:rsid w:val="7C5F1F5F"/>
    <w:rsid w:val="7C605FFE"/>
    <w:rsid w:val="7C662EE9"/>
    <w:rsid w:val="7C974E98"/>
    <w:rsid w:val="7CA42425"/>
    <w:rsid w:val="7CBE0F77"/>
    <w:rsid w:val="7CC27CCA"/>
    <w:rsid w:val="7CD4603A"/>
    <w:rsid w:val="7D351152"/>
    <w:rsid w:val="7D367D51"/>
    <w:rsid w:val="7D430FDF"/>
    <w:rsid w:val="7D5052A6"/>
    <w:rsid w:val="7D6A081C"/>
    <w:rsid w:val="7D6F3F22"/>
    <w:rsid w:val="7D8F03C4"/>
    <w:rsid w:val="7DBD5C5A"/>
    <w:rsid w:val="7DFB705F"/>
    <w:rsid w:val="7E1E53DD"/>
    <w:rsid w:val="7E3079B6"/>
    <w:rsid w:val="7E7B02C7"/>
    <w:rsid w:val="7E9B1A1D"/>
    <w:rsid w:val="7EC016F1"/>
    <w:rsid w:val="7EC923FE"/>
    <w:rsid w:val="7ECB797B"/>
    <w:rsid w:val="7ED14F91"/>
    <w:rsid w:val="7ED504FB"/>
    <w:rsid w:val="7EE21270"/>
    <w:rsid w:val="7EED3DCE"/>
    <w:rsid w:val="7EF23159"/>
    <w:rsid w:val="7F2D58F4"/>
    <w:rsid w:val="7F2F27E1"/>
    <w:rsid w:val="7F5B0B7E"/>
    <w:rsid w:val="7F712B25"/>
    <w:rsid w:val="7FA47D77"/>
    <w:rsid w:val="7FB1158D"/>
    <w:rsid w:val="7FDC5C54"/>
    <w:rsid w:val="7FF3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4"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snapToGrid w:val="0"/>
      <w:ind w:firstLine="0" w:firstLineChars="0"/>
      <w:jc w:val="center"/>
      <w:outlineLvl w:val="0"/>
    </w:pPr>
    <w:rPr>
      <w:b/>
      <w:bCs/>
      <w:kern w:val="44"/>
      <w:sz w:val="30"/>
      <w:szCs w:val="44"/>
    </w:rPr>
  </w:style>
  <w:style w:type="paragraph" w:styleId="4">
    <w:name w:val="heading 2"/>
    <w:basedOn w:val="1"/>
    <w:next w:val="1"/>
    <w:link w:val="56"/>
    <w:qFormat/>
    <w:uiPriority w:val="0"/>
    <w:pPr>
      <w:snapToGrid w:val="0"/>
      <w:spacing w:before="50" w:beforeLines="50"/>
      <w:ind w:firstLine="0" w:firstLineChars="0"/>
      <w:outlineLvl w:val="1"/>
    </w:pPr>
    <w:rPr>
      <w:b/>
      <w:color w:val="000000"/>
      <w:sz w:val="24"/>
      <w:szCs w:val="21"/>
    </w:rPr>
  </w:style>
  <w:style w:type="paragraph" w:styleId="5">
    <w:name w:val="heading 3"/>
    <w:basedOn w:val="1"/>
    <w:next w:val="1"/>
    <w:link w:val="57"/>
    <w:qFormat/>
    <w:uiPriority w:val="0"/>
    <w:pPr>
      <w:keepNext/>
      <w:keepLines/>
      <w:outlineLvl w:val="2"/>
    </w:pPr>
    <w:rPr>
      <w:b/>
      <w:kern w:val="0"/>
    </w:rPr>
  </w:style>
  <w:style w:type="paragraph" w:styleId="6">
    <w:name w:val="heading 4"/>
    <w:basedOn w:val="1"/>
    <w:next w:val="1"/>
    <w:link w:val="58"/>
    <w:qFormat/>
    <w:uiPriority w:val="0"/>
    <w:pPr>
      <w:keepNext/>
      <w:keepLines/>
      <w:outlineLvl w:val="3"/>
    </w:pPr>
    <w:rPr>
      <w:b/>
      <w:bCs/>
      <w:kern w:val="0"/>
      <w:szCs w:val="28"/>
    </w:rPr>
  </w:style>
  <w:style w:type="paragraph" w:styleId="7">
    <w:name w:val="heading 5"/>
    <w:basedOn w:val="1"/>
    <w:next w:val="8"/>
    <w:qFormat/>
    <w:uiPriority w:val="0"/>
    <w:pPr>
      <w:keepNext/>
      <w:keepLines/>
      <w:numPr>
        <w:ilvl w:val="4"/>
        <w:numId w:val="1"/>
      </w:numPr>
      <w:spacing w:before="280" w:after="290" w:line="376" w:lineRule="auto"/>
      <w:ind w:firstLine="200"/>
      <w:outlineLvl w:val="4"/>
    </w:pPr>
    <w:rPr>
      <w:rFonts w:ascii="仿宋_GB2312" w:hAnsi="宋体" w:eastAsia="仿宋_GB2312"/>
      <w:b/>
      <w:bCs/>
      <w:sz w:val="28"/>
      <w:szCs w:val="28"/>
    </w:rPr>
  </w:style>
  <w:style w:type="paragraph" w:styleId="9">
    <w:name w:val="heading 8"/>
    <w:basedOn w:val="1"/>
    <w:next w:val="1"/>
    <w:qFormat/>
    <w:uiPriority w:val="9"/>
    <w:pPr>
      <w:keepNext/>
      <w:keepLines/>
      <w:spacing w:before="120" w:after="120" w:line="319" w:lineRule="auto"/>
      <w:outlineLvl w:val="7"/>
    </w:pPr>
    <w:rPr>
      <w:rFonts w:ascii="Tahoma" w:hAnsi="Tahoma"/>
      <w:b/>
      <w:sz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2"/>
    <w:qFormat/>
    <w:uiPriority w:val="0"/>
    <w:pPr>
      <w:spacing w:after="120"/>
    </w:pPr>
    <w:rPr>
      <w:kern w:val="0"/>
      <w:sz w:val="28"/>
    </w:rPr>
  </w:style>
  <w:style w:type="paragraph" w:customStyle="1" w:styleId="8">
    <w:name w:val="*正文"/>
    <w:basedOn w:val="1"/>
    <w:qFormat/>
    <w:uiPriority w:val="0"/>
    <w:pPr>
      <w:ind w:firstLine="480"/>
    </w:pPr>
    <w:rPr>
      <w:rFonts w:cs="仿宋_GB2312"/>
      <w:sz w:val="24"/>
    </w:rPr>
  </w:style>
  <w:style w:type="paragraph" w:styleId="10">
    <w:name w:val="toc 7"/>
    <w:basedOn w:val="1"/>
    <w:next w:val="1"/>
    <w:qFormat/>
    <w:uiPriority w:val="39"/>
    <w:pPr>
      <w:ind w:left="2520" w:leftChars="1200"/>
    </w:pPr>
  </w:style>
  <w:style w:type="paragraph" w:styleId="11">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12">
    <w:name w:val="Normal Indent"/>
    <w:basedOn w:val="1"/>
    <w:qFormat/>
    <w:uiPriority w:val="0"/>
    <w:pPr>
      <w:ind w:firstLine="420"/>
    </w:pPr>
    <w:rPr>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59"/>
    <w:qFormat/>
    <w:uiPriority w:val="0"/>
    <w:rPr>
      <w:rFonts w:ascii="宋体"/>
      <w:kern w:val="0"/>
      <w:sz w:val="18"/>
      <w:szCs w:val="18"/>
    </w:rPr>
  </w:style>
  <w:style w:type="paragraph" w:styleId="15">
    <w:name w:val="annotation text"/>
    <w:basedOn w:val="1"/>
    <w:link w:val="60"/>
    <w:unhideWhenUsed/>
    <w:qFormat/>
    <w:uiPriority w:val="99"/>
    <w:pPr>
      <w:jc w:val="left"/>
    </w:pPr>
    <w:rPr>
      <w:kern w:val="0"/>
      <w:sz w:val="20"/>
    </w:rPr>
  </w:style>
  <w:style w:type="paragraph" w:styleId="16">
    <w:name w:val="Body Text 3"/>
    <w:basedOn w:val="1"/>
    <w:link w:val="61"/>
    <w:qFormat/>
    <w:uiPriority w:val="0"/>
    <w:pPr>
      <w:snapToGrid w:val="0"/>
      <w:spacing w:before="50" w:after="50"/>
    </w:pPr>
    <w:rPr>
      <w:rFonts w:hAnsi="宋体" w:eastAsia="仿宋_GB2312"/>
      <w:b/>
      <w:bCs/>
      <w:kern w:val="0"/>
      <w:sz w:val="24"/>
      <w:szCs w:val="20"/>
    </w:rPr>
  </w:style>
  <w:style w:type="paragraph" w:styleId="17">
    <w:name w:val="Body Text Indent"/>
    <w:basedOn w:val="1"/>
    <w:next w:val="1"/>
    <w:link w:val="53"/>
    <w:qFormat/>
    <w:uiPriority w:val="0"/>
    <w:pPr>
      <w:spacing w:line="200" w:lineRule="exact"/>
      <w:ind w:firstLine="301"/>
    </w:pPr>
    <w:rPr>
      <w:rFonts w:hint="eastAsia" w:ascii="宋体" w:hAnsi="Courier New" w:cs="宋体"/>
      <w:spacing w:val="-4"/>
      <w:sz w:val="18"/>
      <w:szCs w:val="20"/>
    </w:rPr>
  </w:style>
  <w:style w:type="paragraph" w:styleId="18">
    <w:name w:val="List Number 3"/>
    <w:basedOn w:val="1"/>
    <w:qFormat/>
    <w:uiPriority w:val="0"/>
    <w:pPr>
      <w:tabs>
        <w:tab w:val="left" w:pos="1200"/>
      </w:tabs>
      <w:ind w:left="1200" w:hanging="360"/>
    </w:pPr>
  </w:style>
  <w:style w:type="paragraph" w:styleId="19">
    <w:name w:val="List 2"/>
    <w:basedOn w:val="1"/>
    <w:qFormat/>
    <w:uiPriority w:val="0"/>
    <w:pPr>
      <w:ind w:left="100" w:leftChars="200" w:hanging="200" w:hangingChars="200"/>
    </w:pPr>
    <w:rPr>
      <w:sz w:val="28"/>
    </w:rPr>
  </w:style>
  <w:style w:type="paragraph" w:styleId="20">
    <w:name w:val="Block Text"/>
    <w:basedOn w:val="1"/>
    <w:next w:val="1"/>
    <w:qFormat/>
    <w:uiPriority w:val="0"/>
    <w:pPr>
      <w:adjustRightInd w:val="0"/>
      <w:spacing w:line="300" w:lineRule="auto"/>
      <w:ind w:left="958" w:right="-120" w:rightChars="-120"/>
      <w:jc w:val="left"/>
    </w:pPr>
    <w:rPr>
      <w:rFonts w:ascii="宋体" w:hAnsi="宋体"/>
      <w:sz w:val="28"/>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next w:val="2"/>
    <w:link w:val="63"/>
    <w:qFormat/>
    <w:uiPriority w:val="0"/>
    <w:pPr>
      <w:spacing w:beforeLines="50" w:afterLines="50" w:line="400" w:lineRule="exact"/>
    </w:pPr>
    <w:rPr>
      <w:rFonts w:hint="eastAsia" w:ascii="宋体" w:hAnsi="Courier New" w:cs="宋体"/>
      <w:sz w:val="24"/>
    </w:rPr>
  </w:style>
  <w:style w:type="paragraph" w:styleId="25">
    <w:name w:val="toc 8"/>
    <w:basedOn w:val="1"/>
    <w:next w:val="1"/>
    <w:qFormat/>
    <w:uiPriority w:val="39"/>
    <w:pPr>
      <w:ind w:left="2940" w:leftChars="1400"/>
    </w:pPr>
  </w:style>
  <w:style w:type="paragraph" w:styleId="26">
    <w:name w:val="Date"/>
    <w:basedOn w:val="1"/>
    <w:next w:val="1"/>
    <w:link w:val="64"/>
    <w:qFormat/>
    <w:uiPriority w:val="0"/>
    <w:pPr>
      <w:ind w:left="2500" w:leftChars="2500"/>
    </w:pPr>
    <w:rPr>
      <w:rFonts w:eastAsia="楷体_GB2312"/>
      <w:kern w:val="0"/>
      <w:sz w:val="32"/>
      <w:szCs w:val="20"/>
    </w:rPr>
  </w:style>
  <w:style w:type="paragraph" w:styleId="27">
    <w:name w:val="Body Text Indent 2"/>
    <w:basedOn w:val="1"/>
    <w:link w:val="65"/>
    <w:qFormat/>
    <w:uiPriority w:val="0"/>
    <w:pPr>
      <w:snapToGrid w:val="0"/>
      <w:ind w:firstLine="542" w:firstLineChars="225"/>
    </w:pPr>
    <w:rPr>
      <w:rFonts w:ascii="仿宋_GB2312" w:hAnsi="宋体"/>
      <w:b/>
      <w:bCs/>
      <w:color w:val="000000"/>
      <w:kern w:val="0"/>
      <w:sz w:val="24"/>
    </w:rPr>
  </w:style>
  <w:style w:type="paragraph" w:styleId="28">
    <w:name w:val="Balloon Text"/>
    <w:basedOn w:val="1"/>
    <w:link w:val="66"/>
    <w:qFormat/>
    <w:uiPriority w:val="0"/>
    <w:rPr>
      <w:kern w:val="0"/>
      <w:sz w:val="18"/>
      <w:szCs w:val="18"/>
    </w:rPr>
  </w:style>
  <w:style w:type="paragraph" w:styleId="29">
    <w:name w:val="footer"/>
    <w:basedOn w:val="1"/>
    <w:link w:val="67"/>
    <w:qFormat/>
    <w:uiPriority w:val="99"/>
    <w:pPr>
      <w:tabs>
        <w:tab w:val="center" w:pos="4153"/>
        <w:tab w:val="right" w:pos="8306"/>
      </w:tabs>
      <w:snapToGrid w:val="0"/>
      <w:jc w:val="left"/>
    </w:pPr>
    <w:rPr>
      <w:rFonts w:eastAsia="黑体"/>
      <w:kern w:val="0"/>
      <w:sz w:val="18"/>
      <w:szCs w:val="18"/>
    </w:rPr>
  </w:style>
  <w:style w:type="paragraph" w:styleId="30">
    <w:name w:val="header"/>
    <w:basedOn w:val="1"/>
    <w:link w:val="68"/>
    <w:qFormat/>
    <w:uiPriority w:val="0"/>
    <w:pPr>
      <w:pBdr>
        <w:bottom w:val="single" w:color="auto" w:sz="6" w:space="1"/>
      </w:pBdr>
      <w:tabs>
        <w:tab w:val="center" w:pos="4153"/>
        <w:tab w:val="right" w:pos="8306"/>
      </w:tabs>
      <w:snapToGrid w:val="0"/>
      <w:jc w:val="center"/>
    </w:pPr>
    <w:rPr>
      <w:rFonts w:eastAsia="仿宋_GB2312"/>
      <w:kern w:val="0"/>
      <w:sz w:val="18"/>
      <w:szCs w:val="20"/>
    </w:rPr>
  </w:style>
  <w:style w:type="paragraph" w:styleId="31">
    <w:name w:val="toc 1"/>
    <w:basedOn w:val="1"/>
    <w:next w:val="1"/>
    <w:qFormat/>
    <w:uiPriority w:val="39"/>
    <w:pPr>
      <w:ind w:firstLine="0" w:firstLineChars="0"/>
      <w:jc w:val="center"/>
    </w:pPr>
    <w:rPr>
      <w:b/>
      <w:sz w:val="28"/>
    </w:rPr>
  </w:style>
  <w:style w:type="paragraph" w:styleId="32">
    <w:name w:val="toc 4"/>
    <w:basedOn w:val="1"/>
    <w:next w:val="1"/>
    <w:qFormat/>
    <w:uiPriority w:val="39"/>
    <w:pPr>
      <w:ind w:left="1260" w:leftChars="600"/>
    </w:pPr>
  </w:style>
  <w:style w:type="paragraph" w:styleId="33">
    <w:name w:val="List"/>
    <w:basedOn w:val="1"/>
    <w:qFormat/>
    <w:uiPriority w:val="0"/>
    <w:pPr>
      <w:ind w:left="200" w:hanging="200" w:hangingChars="200"/>
    </w:pPr>
    <w:rPr>
      <w:sz w:val="28"/>
    </w:rPr>
  </w:style>
  <w:style w:type="paragraph" w:styleId="34">
    <w:name w:val="toc 6"/>
    <w:basedOn w:val="1"/>
    <w:next w:val="1"/>
    <w:qFormat/>
    <w:uiPriority w:val="39"/>
    <w:pPr>
      <w:ind w:left="2100" w:leftChars="1000"/>
    </w:pPr>
  </w:style>
  <w:style w:type="paragraph" w:styleId="35">
    <w:name w:val="Body Text Indent 3"/>
    <w:basedOn w:val="1"/>
    <w:link w:val="69"/>
    <w:qFormat/>
    <w:uiPriority w:val="0"/>
    <w:pPr>
      <w:snapToGrid w:val="0"/>
      <w:ind w:firstLine="480"/>
      <w:jc w:val="left"/>
    </w:pPr>
    <w:rPr>
      <w:rFonts w:ascii="仿宋_GB2312" w:hAnsi="宋体" w:eastAsia="仿宋_GB2312"/>
      <w:color w:val="000000"/>
      <w:kern w:val="0"/>
      <w:sz w:val="24"/>
    </w:rPr>
  </w:style>
  <w:style w:type="paragraph" w:styleId="36">
    <w:name w:val="toc 2"/>
    <w:basedOn w:val="1"/>
    <w:next w:val="1"/>
    <w:qFormat/>
    <w:uiPriority w:val="39"/>
    <w:pPr>
      <w:ind w:left="420" w:leftChars="200"/>
    </w:pPr>
  </w:style>
  <w:style w:type="paragraph" w:styleId="37">
    <w:name w:val="toc 9"/>
    <w:basedOn w:val="1"/>
    <w:next w:val="1"/>
    <w:qFormat/>
    <w:uiPriority w:val="39"/>
    <w:pPr>
      <w:ind w:left="3360" w:leftChars="1600"/>
    </w:pPr>
  </w:style>
  <w:style w:type="paragraph" w:styleId="38">
    <w:name w:val="Body Text 2"/>
    <w:basedOn w:val="1"/>
    <w:link w:val="70"/>
    <w:qFormat/>
    <w:uiPriority w:val="0"/>
    <w:pPr>
      <w:widowControl/>
      <w:snapToGrid w:val="0"/>
      <w:spacing w:before="50" w:afterLines="50" w:line="400" w:lineRule="exact"/>
      <w:jc w:val="left"/>
    </w:pPr>
    <w:rPr>
      <w:rFonts w:ascii="宋体" w:hAnsi="宋体"/>
      <w:color w:val="000000"/>
      <w:kern w:val="0"/>
      <w:sz w:val="24"/>
    </w:rPr>
  </w:style>
  <w:style w:type="paragraph" w:styleId="39">
    <w:name w:val="HTML Preformatted"/>
    <w:basedOn w:val="1"/>
    <w:link w:val="7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0"/>
    <w:pPr>
      <w:widowControl/>
      <w:spacing w:before="100" w:beforeAutospacing="1" w:after="100" w:afterAutospacing="1"/>
      <w:jc w:val="left"/>
    </w:pPr>
    <w:rPr>
      <w:kern w:val="0"/>
      <w:sz w:val="24"/>
    </w:rPr>
  </w:style>
  <w:style w:type="paragraph" w:styleId="41">
    <w:name w:val="annotation subject"/>
    <w:basedOn w:val="15"/>
    <w:next w:val="15"/>
    <w:link w:val="72"/>
    <w:qFormat/>
    <w:uiPriority w:val="0"/>
    <w:rPr>
      <w:b/>
      <w:bCs/>
    </w:rPr>
  </w:style>
  <w:style w:type="paragraph" w:styleId="42">
    <w:name w:val="Body Text First Indent"/>
    <w:basedOn w:val="1"/>
    <w:qFormat/>
    <w:uiPriority w:val="99"/>
    <w:pPr>
      <w:spacing w:after="120" w:line="240" w:lineRule="auto"/>
      <w:ind w:firstLine="420" w:firstLineChars="100"/>
    </w:pPr>
  </w:style>
  <w:style w:type="paragraph" w:styleId="43">
    <w:name w:val="Body Text First Indent 2"/>
    <w:basedOn w:val="17"/>
    <w:next w:val="1"/>
    <w:link w:val="54"/>
    <w:unhideWhenUsed/>
    <w:qFormat/>
    <w:uiPriority w:val="99"/>
    <w:pPr>
      <w:spacing w:after="120" w:line="240" w:lineRule="auto"/>
      <w:ind w:left="420" w:leftChars="200" w:firstLine="420"/>
    </w:pPr>
    <w:rPr>
      <w:rFonts w:hint="default" w:ascii="Times New Roman" w:hAnsi="Times New Roman" w:cs="Times New Roman"/>
      <w:spacing w:val="0"/>
      <w:sz w:val="21"/>
      <w:szCs w:val="24"/>
    </w:rPr>
  </w:style>
  <w:style w:type="table" w:styleId="45">
    <w:name w:val="Table Grid"/>
    <w:basedOn w:val="4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unhideWhenUsed/>
    <w:qFormat/>
    <w:uiPriority w:val="99"/>
    <w:rPr>
      <w:color w:val="5C5C5C"/>
      <w:u w:val="single"/>
    </w:rPr>
  </w:style>
  <w:style w:type="character" w:styleId="50">
    <w:name w:val="Emphasis"/>
    <w:qFormat/>
    <w:uiPriority w:val="20"/>
    <w:rPr>
      <w:i/>
      <w:iCs/>
    </w:rPr>
  </w:style>
  <w:style w:type="character" w:styleId="51">
    <w:name w:val="Hyperlink"/>
    <w:qFormat/>
    <w:uiPriority w:val="99"/>
    <w:rPr>
      <w:color w:val="5C5C5C"/>
      <w:u w:val="single"/>
    </w:rPr>
  </w:style>
  <w:style w:type="character" w:styleId="52">
    <w:name w:val="annotation reference"/>
    <w:qFormat/>
    <w:uiPriority w:val="0"/>
    <w:rPr>
      <w:sz w:val="21"/>
      <w:szCs w:val="21"/>
    </w:rPr>
  </w:style>
  <w:style w:type="character" w:customStyle="1" w:styleId="53">
    <w:name w:val="正文文本缩进 字符"/>
    <w:link w:val="17"/>
    <w:qFormat/>
    <w:uiPriority w:val="0"/>
    <w:rPr>
      <w:rFonts w:hint="eastAsia" w:ascii="宋体" w:hAnsi="Courier New" w:eastAsia="宋体" w:cs="宋体"/>
      <w:spacing w:val="-4"/>
      <w:kern w:val="2"/>
      <w:sz w:val="18"/>
      <w:lang w:bidi="ar-SA"/>
    </w:rPr>
  </w:style>
  <w:style w:type="character" w:customStyle="1" w:styleId="54">
    <w:name w:val="正文文本首行缩进 2 字符"/>
    <w:link w:val="43"/>
    <w:semiHidden/>
    <w:qFormat/>
    <w:uiPriority w:val="99"/>
    <w:rPr>
      <w:rFonts w:hint="eastAsia" w:ascii="宋体" w:hAnsi="Courier New" w:eastAsia="宋体" w:cs="宋体"/>
      <w:spacing w:val="-4"/>
      <w:kern w:val="2"/>
      <w:sz w:val="21"/>
      <w:szCs w:val="24"/>
      <w:lang w:bidi="ar-SA"/>
    </w:rPr>
  </w:style>
  <w:style w:type="character" w:customStyle="1" w:styleId="55">
    <w:name w:val="标题 1 字符"/>
    <w:link w:val="3"/>
    <w:qFormat/>
    <w:uiPriority w:val="0"/>
    <w:rPr>
      <w:rFonts w:ascii="Times New Roman" w:hAnsi="Times New Roman" w:eastAsia="宋体"/>
      <w:b/>
      <w:bCs/>
      <w:kern w:val="44"/>
      <w:sz w:val="30"/>
      <w:szCs w:val="44"/>
    </w:rPr>
  </w:style>
  <w:style w:type="character" w:customStyle="1" w:styleId="56">
    <w:name w:val="标题 2 字符"/>
    <w:link w:val="4"/>
    <w:qFormat/>
    <w:uiPriority w:val="0"/>
    <w:rPr>
      <w:rFonts w:ascii="Times New Roman" w:hAnsi="Times New Roman" w:eastAsia="宋体"/>
      <w:b/>
      <w:color w:val="000000"/>
      <w:kern w:val="2"/>
      <w:sz w:val="24"/>
      <w:szCs w:val="21"/>
    </w:rPr>
  </w:style>
  <w:style w:type="character" w:customStyle="1" w:styleId="57">
    <w:name w:val="标题 3 字符"/>
    <w:link w:val="5"/>
    <w:qFormat/>
    <w:uiPriority w:val="0"/>
    <w:rPr>
      <w:rFonts w:ascii="Times New Roman" w:hAnsi="Times New Roman" w:eastAsia="宋体" w:cs="Times New Roman"/>
      <w:b/>
      <w:sz w:val="21"/>
      <w:szCs w:val="24"/>
    </w:rPr>
  </w:style>
  <w:style w:type="character" w:customStyle="1" w:styleId="58">
    <w:name w:val="标题 4 字符"/>
    <w:link w:val="6"/>
    <w:qFormat/>
    <w:uiPriority w:val="0"/>
    <w:rPr>
      <w:rFonts w:ascii="Times New Roman" w:hAnsi="Times New Roman" w:eastAsia="宋体" w:cs="Times New Roman"/>
      <w:b/>
      <w:bCs/>
      <w:sz w:val="21"/>
      <w:szCs w:val="28"/>
    </w:rPr>
  </w:style>
  <w:style w:type="character" w:customStyle="1" w:styleId="59">
    <w:name w:val="文档结构图 字符"/>
    <w:link w:val="14"/>
    <w:qFormat/>
    <w:uiPriority w:val="0"/>
    <w:rPr>
      <w:rFonts w:ascii="宋体"/>
      <w:sz w:val="18"/>
      <w:szCs w:val="18"/>
    </w:rPr>
  </w:style>
  <w:style w:type="character" w:customStyle="1" w:styleId="60">
    <w:name w:val="批注文字 字符"/>
    <w:link w:val="15"/>
    <w:semiHidden/>
    <w:qFormat/>
    <w:uiPriority w:val="99"/>
    <w:rPr>
      <w:rFonts w:ascii="Times New Roman" w:hAnsi="Times New Roman" w:eastAsia="宋体" w:cs="Times New Roman"/>
      <w:szCs w:val="24"/>
    </w:rPr>
  </w:style>
  <w:style w:type="character" w:customStyle="1" w:styleId="61">
    <w:name w:val="正文文本 3 字符"/>
    <w:link w:val="16"/>
    <w:qFormat/>
    <w:uiPriority w:val="0"/>
    <w:rPr>
      <w:rFonts w:ascii="Times New Roman" w:hAnsi="宋体" w:eastAsia="仿宋_GB2312" w:cs="Times New Roman"/>
      <w:b/>
      <w:bCs/>
      <w:sz w:val="24"/>
      <w:szCs w:val="20"/>
    </w:rPr>
  </w:style>
  <w:style w:type="character" w:customStyle="1" w:styleId="62">
    <w:name w:val="正文文本 字符"/>
    <w:link w:val="2"/>
    <w:qFormat/>
    <w:uiPriority w:val="0"/>
    <w:rPr>
      <w:rFonts w:ascii="Times New Roman" w:hAnsi="Times New Roman" w:eastAsia="宋体" w:cs="Times New Roman"/>
      <w:sz w:val="28"/>
      <w:szCs w:val="24"/>
    </w:rPr>
  </w:style>
  <w:style w:type="character" w:customStyle="1" w:styleId="63">
    <w:name w:val="纯文本 字符"/>
    <w:link w:val="24"/>
    <w:qFormat/>
    <w:uiPriority w:val="0"/>
    <w:rPr>
      <w:rFonts w:hint="eastAsia" w:ascii="宋体" w:hAnsi="Courier New" w:eastAsia="宋体" w:cs="宋体"/>
      <w:kern w:val="2"/>
      <w:sz w:val="24"/>
      <w:szCs w:val="24"/>
      <w:lang w:val="en-US" w:eastAsia="zh-CN" w:bidi="ar-SA"/>
    </w:rPr>
  </w:style>
  <w:style w:type="character" w:customStyle="1" w:styleId="64">
    <w:name w:val="日期 字符"/>
    <w:link w:val="26"/>
    <w:qFormat/>
    <w:uiPriority w:val="0"/>
    <w:rPr>
      <w:rFonts w:ascii="Times New Roman" w:hAnsi="Times New Roman" w:eastAsia="楷体_GB2312" w:cs="Times New Roman"/>
      <w:sz w:val="32"/>
      <w:szCs w:val="20"/>
    </w:rPr>
  </w:style>
  <w:style w:type="character" w:customStyle="1" w:styleId="65">
    <w:name w:val="正文文本缩进 2 字符"/>
    <w:link w:val="27"/>
    <w:qFormat/>
    <w:uiPriority w:val="0"/>
    <w:rPr>
      <w:rFonts w:ascii="仿宋_GB2312" w:hAnsi="宋体" w:eastAsia="宋体" w:cs="Arial"/>
      <w:b/>
      <w:bCs/>
      <w:color w:val="000000"/>
      <w:sz w:val="24"/>
      <w:szCs w:val="24"/>
    </w:rPr>
  </w:style>
  <w:style w:type="character" w:customStyle="1" w:styleId="66">
    <w:name w:val="批注框文本 字符"/>
    <w:link w:val="28"/>
    <w:qFormat/>
    <w:uiPriority w:val="0"/>
    <w:rPr>
      <w:rFonts w:ascii="Times New Roman" w:hAnsi="Times New Roman" w:eastAsia="宋体" w:cs="Times New Roman"/>
      <w:sz w:val="18"/>
      <w:szCs w:val="18"/>
    </w:rPr>
  </w:style>
  <w:style w:type="character" w:customStyle="1" w:styleId="67">
    <w:name w:val="页脚 字符"/>
    <w:link w:val="29"/>
    <w:qFormat/>
    <w:uiPriority w:val="99"/>
    <w:rPr>
      <w:rFonts w:eastAsia="黑体"/>
      <w:sz w:val="18"/>
      <w:szCs w:val="18"/>
    </w:rPr>
  </w:style>
  <w:style w:type="character" w:customStyle="1" w:styleId="68">
    <w:name w:val="页眉 字符"/>
    <w:link w:val="30"/>
    <w:qFormat/>
    <w:locked/>
    <w:uiPriority w:val="0"/>
    <w:rPr>
      <w:rFonts w:eastAsia="仿宋_GB2312"/>
      <w:sz w:val="18"/>
    </w:rPr>
  </w:style>
  <w:style w:type="character" w:customStyle="1" w:styleId="69">
    <w:name w:val="正文文本缩进 3 字符"/>
    <w:link w:val="35"/>
    <w:qFormat/>
    <w:uiPriority w:val="0"/>
    <w:rPr>
      <w:rFonts w:ascii="仿宋_GB2312" w:hAnsi="宋体" w:eastAsia="仿宋_GB2312" w:cs="Times New Roman"/>
      <w:color w:val="000000"/>
      <w:sz w:val="24"/>
      <w:szCs w:val="24"/>
    </w:rPr>
  </w:style>
  <w:style w:type="character" w:customStyle="1" w:styleId="70">
    <w:name w:val="正文文本 2 字符"/>
    <w:link w:val="38"/>
    <w:qFormat/>
    <w:uiPriority w:val="0"/>
    <w:rPr>
      <w:rFonts w:ascii="宋体" w:hAnsi="宋体" w:eastAsia="宋体" w:cs="Times New Roman"/>
      <w:color w:val="000000"/>
      <w:sz w:val="24"/>
      <w:szCs w:val="24"/>
    </w:rPr>
  </w:style>
  <w:style w:type="character" w:customStyle="1" w:styleId="71">
    <w:name w:val="HTML 预设格式 字符"/>
    <w:link w:val="39"/>
    <w:qFormat/>
    <w:uiPriority w:val="99"/>
    <w:rPr>
      <w:rFonts w:ascii="宋体" w:hAnsi="宋体" w:cs="宋体"/>
      <w:sz w:val="24"/>
      <w:szCs w:val="24"/>
    </w:rPr>
  </w:style>
  <w:style w:type="character" w:customStyle="1" w:styleId="72">
    <w:name w:val="批注主题 字符"/>
    <w:link w:val="41"/>
    <w:qFormat/>
    <w:uiPriority w:val="0"/>
    <w:rPr>
      <w:b/>
      <w:bCs/>
      <w:szCs w:val="24"/>
    </w:rPr>
  </w:style>
  <w:style w:type="paragraph" w:customStyle="1" w:styleId="73">
    <w:name w:val="Default"/>
    <w:next w:val="74"/>
    <w:unhideWhenUsed/>
    <w:qFormat/>
    <w:uiPriority w:val="99"/>
    <w:pPr>
      <w:widowControl w:val="0"/>
      <w:autoSpaceDE w:val="0"/>
      <w:autoSpaceDN w:val="0"/>
      <w:adjustRightInd w:val="0"/>
    </w:pPr>
    <w:rPr>
      <w:rFonts w:ascii="Heiti TC" w:hAnsi="Heiti TC" w:eastAsia="Heiti TC" w:cs="Times New Roman"/>
      <w:color w:val="000000"/>
      <w:sz w:val="24"/>
      <w:szCs w:val="22"/>
      <w:lang w:val="en-US" w:eastAsia="zh-CN" w:bidi="ar-SA"/>
    </w:rPr>
  </w:style>
  <w:style w:type="paragraph" w:customStyle="1" w:styleId="74">
    <w:name w:val="表格文字"/>
    <w:basedOn w:val="24"/>
    <w:next w:val="2"/>
    <w:qFormat/>
    <w:uiPriority w:val="0"/>
    <w:pPr>
      <w:widowControl/>
      <w:spacing w:before="25" w:after="25"/>
      <w:jc w:val="left"/>
    </w:pPr>
    <w:rPr>
      <w:rFonts w:ascii="Times" w:hAnsi="Times"/>
      <w:bCs/>
      <w:spacing w:val="10"/>
    </w:rPr>
  </w:style>
  <w:style w:type="paragraph" w:styleId="75">
    <w:name w:val="List Paragraph"/>
    <w:basedOn w:val="1"/>
    <w:qFormat/>
    <w:uiPriority w:val="34"/>
    <w:pPr>
      <w:ind w:firstLine="420"/>
    </w:pPr>
    <w:rPr>
      <w:sz w:val="24"/>
      <w:szCs w:val="20"/>
    </w:rPr>
  </w:style>
  <w:style w:type="paragraph" w:customStyle="1" w:styleId="7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77">
    <w:name w:val="param-name"/>
    <w:qFormat/>
    <w:uiPriority w:val="0"/>
  </w:style>
  <w:style w:type="character" w:customStyle="1" w:styleId="78">
    <w:name w:val="样式 标题 1合同标题卷标题H1h1Level 1 Topic HeadingH11H12H111H13H1... Char"/>
    <w:qFormat/>
    <w:uiPriority w:val="0"/>
    <w:rPr>
      <w:rFonts w:ascii="宋体" w:hAnsi="宋体" w:eastAsia="宋体"/>
      <w:b/>
      <w:bCs/>
      <w:kern w:val="44"/>
      <w:sz w:val="24"/>
      <w:szCs w:val="44"/>
      <w:lang w:val="en-US" w:eastAsia="zh-CN" w:bidi="ar-SA"/>
    </w:rPr>
  </w:style>
  <w:style w:type="character" w:customStyle="1" w:styleId="79">
    <w:name w:val="param-name param-explain"/>
    <w:qFormat/>
    <w:uiPriority w:val="0"/>
  </w:style>
  <w:style w:type="character" w:customStyle="1" w:styleId="80">
    <w:name w:val="正文文本 2 Char1"/>
    <w:semiHidden/>
    <w:qFormat/>
    <w:uiPriority w:val="99"/>
    <w:rPr>
      <w:rFonts w:ascii="Tahoma" w:hAnsi="Tahoma"/>
      <w:kern w:val="2"/>
      <w:sz w:val="21"/>
      <w:szCs w:val="24"/>
    </w:rPr>
  </w:style>
  <w:style w:type="character" w:customStyle="1" w:styleId="81">
    <w:name w:val="正文文本缩进 2 Char1"/>
    <w:semiHidden/>
    <w:qFormat/>
    <w:uiPriority w:val="99"/>
    <w:rPr>
      <w:rFonts w:ascii="Tahoma" w:hAnsi="Tahoma"/>
      <w:kern w:val="2"/>
      <w:sz w:val="21"/>
      <w:szCs w:val="24"/>
    </w:rPr>
  </w:style>
  <w:style w:type="character" w:customStyle="1" w:styleId="82">
    <w:name w:val="页脚 Char2"/>
    <w:semiHidden/>
    <w:qFormat/>
    <w:uiPriority w:val="99"/>
    <w:rPr>
      <w:rFonts w:ascii="Tahoma" w:hAnsi="Tahoma"/>
      <w:kern w:val="2"/>
      <w:sz w:val="18"/>
      <w:szCs w:val="18"/>
    </w:rPr>
  </w:style>
  <w:style w:type="character" w:customStyle="1" w:styleId="83">
    <w:name w:val="HTML 预设格式 Char1"/>
    <w:semiHidden/>
    <w:qFormat/>
    <w:uiPriority w:val="99"/>
    <w:rPr>
      <w:rFonts w:ascii="Courier New" w:hAnsi="Courier New" w:cs="Courier New"/>
      <w:kern w:val="2"/>
      <w:sz w:val="24"/>
      <w:szCs w:val="24"/>
    </w:rPr>
  </w:style>
  <w:style w:type="character" w:customStyle="1" w:styleId="84">
    <w:name w:val="默认段落字体2"/>
    <w:qFormat/>
    <w:uiPriority w:val="6"/>
  </w:style>
  <w:style w:type="character" w:customStyle="1" w:styleId="85">
    <w:name w:val="正文文本缩进 3 Char1"/>
    <w:semiHidden/>
    <w:qFormat/>
    <w:uiPriority w:val="99"/>
    <w:rPr>
      <w:rFonts w:ascii="Tahoma" w:hAnsi="Tahoma"/>
      <w:kern w:val="2"/>
      <w:sz w:val="16"/>
      <w:szCs w:val="16"/>
    </w:rPr>
  </w:style>
  <w:style w:type="character" w:customStyle="1" w:styleId="86">
    <w:name w:val="批注主题 Char1"/>
    <w:semiHidden/>
    <w:qFormat/>
    <w:uiPriority w:val="99"/>
    <w:rPr>
      <w:rFonts w:ascii="Times New Roman" w:hAnsi="Times New Roman" w:eastAsia="宋体" w:cs="Times New Roman"/>
      <w:b/>
      <w:bCs/>
      <w:szCs w:val="24"/>
    </w:rPr>
  </w:style>
  <w:style w:type="character" w:customStyle="1" w:styleId="87">
    <w:name w:val="纯文本 Char1"/>
    <w:semiHidden/>
    <w:qFormat/>
    <w:uiPriority w:val="99"/>
    <w:rPr>
      <w:rFonts w:ascii="宋体" w:hAnsi="Courier New" w:eastAsia="宋体" w:cs="Courier New"/>
      <w:szCs w:val="21"/>
    </w:rPr>
  </w:style>
  <w:style w:type="character" w:customStyle="1" w:styleId="88">
    <w:name w:val="cye-lm-tag"/>
    <w:qFormat/>
    <w:uiPriority w:val="0"/>
  </w:style>
  <w:style w:type="character" w:customStyle="1" w:styleId="89">
    <w:name w:val="font11"/>
    <w:qFormat/>
    <w:uiPriority w:val="0"/>
    <w:rPr>
      <w:rFonts w:hint="eastAsia" w:ascii="宋体" w:hAnsi="宋体" w:eastAsia="宋体" w:cs="宋体"/>
      <w:color w:val="000000"/>
      <w:sz w:val="20"/>
      <w:szCs w:val="20"/>
      <w:u w:val="none"/>
    </w:rPr>
  </w:style>
  <w:style w:type="character" w:customStyle="1" w:styleId="90">
    <w:name w:val="正文文本缩进 Char1"/>
    <w:semiHidden/>
    <w:qFormat/>
    <w:uiPriority w:val="99"/>
    <w:rPr>
      <w:rFonts w:ascii="Times New Roman" w:hAnsi="Times New Roman" w:eastAsia="宋体" w:cs="Times New Roman"/>
      <w:szCs w:val="24"/>
    </w:rPr>
  </w:style>
  <w:style w:type="character" w:customStyle="1" w:styleId="91">
    <w:name w:val="纯文本 Char3"/>
    <w:semiHidden/>
    <w:qFormat/>
    <w:uiPriority w:val="99"/>
    <w:rPr>
      <w:rFonts w:ascii="宋体" w:hAnsi="Courier New" w:cs="Courier New"/>
      <w:kern w:val="2"/>
      <w:sz w:val="21"/>
      <w:szCs w:val="21"/>
    </w:rPr>
  </w:style>
  <w:style w:type="character" w:customStyle="1" w:styleId="92">
    <w:name w:val="日期 Char1"/>
    <w:semiHidden/>
    <w:qFormat/>
    <w:uiPriority w:val="99"/>
    <w:rPr>
      <w:rFonts w:ascii="Tahoma" w:hAnsi="Tahoma"/>
      <w:kern w:val="2"/>
      <w:sz w:val="21"/>
      <w:szCs w:val="24"/>
    </w:rPr>
  </w:style>
  <w:style w:type="character" w:customStyle="1" w:styleId="93">
    <w:name w:val="批注文字 Char2"/>
    <w:semiHidden/>
    <w:qFormat/>
    <w:uiPriority w:val="99"/>
    <w:rPr>
      <w:rFonts w:ascii="Tahoma" w:hAnsi="Tahoma"/>
      <w:kern w:val="2"/>
      <w:sz w:val="21"/>
      <w:szCs w:val="24"/>
    </w:rPr>
  </w:style>
  <w:style w:type="character" w:customStyle="1" w:styleId="94">
    <w:name w:val="正文文本缩进 Char"/>
    <w:qFormat/>
    <w:uiPriority w:val="0"/>
    <w:rPr>
      <w:rFonts w:ascii="宋体" w:hAnsi="Courier New"/>
      <w:spacing w:val="-4"/>
      <w:sz w:val="18"/>
    </w:rPr>
  </w:style>
  <w:style w:type="character" w:customStyle="1" w:styleId="95">
    <w:name w:val="批注框文本 Char1"/>
    <w:semiHidden/>
    <w:qFormat/>
    <w:uiPriority w:val="99"/>
    <w:rPr>
      <w:rFonts w:ascii="Tahoma" w:hAnsi="Tahoma"/>
      <w:kern w:val="2"/>
      <w:sz w:val="18"/>
      <w:szCs w:val="18"/>
    </w:rPr>
  </w:style>
  <w:style w:type="character" w:customStyle="1" w:styleId="96">
    <w:name w:val="正文文本缩进 Char3"/>
    <w:semiHidden/>
    <w:qFormat/>
    <w:uiPriority w:val="99"/>
    <w:rPr>
      <w:rFonts w:ascii="Tahoma" w:hAnsi="Tahoma"/>
      <w:kern w:val="2"/>
      <w:sz w:val="21"/>
      <w:szCs w:val="24"/>
    </w:rPr>
  </w:style>
  <w:style w:type="character" w:customStyle="1" w:styleId="97">
    <w:name w:val="正文文本 3 Char1"/>
    <w:semiHidden/>
    <w:qFormat/>
    <w:uiPriority w:val="99"/>
    <w:rPr>
      <w:rFonts w:ascii="Tahoma" w:hAnsi="Tahoma"/>
      <w:kern w:val="2"/>
      <w:sz w:val="16"/>
      <w:szCs w:val="16"/>
    </w:rPr>
  </w:style>
  <w:style w:type="character" w:customStyle="1" w:styleId="98">
    <w:name w:val="默认段落字体1"/>
    <w:qFormat/>
    <w:uiPriority w:val="6"/>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font31"/>
    <w:qFormat/>
    <w:uiPriority w:val="0"/>
    <w:rPr>
      <w:rFonts w:hint="default" w:ascii="Arial" w:hAnsi="Arial" w:cs="Arial"/>
      <w:color w:val="000000"/>
      <w:sz w:val="20"/>
      <w:szCs w:val="20"/>
      <w:u w:val="none"/>
    </w:rPr>
  </w:style>
  <w:style w:type="character" w:customStyle="1" w:styleId="101">
    <w:name w:val="页眉 Char1"/>
    <w:semiHidden/>
    <w:qFormat/>
    <w:uiPriority w:val="99"/>
    <w:rPr>
      <w:rFonts w:ascii="Times New Roman" w:hAnsi="Times New Roman" w:eastAsia="宋体" w:cs="Times New Roman"/>
      <w:sz w:val="18"/>
      <w:szCs w:val="18"/>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页眉 Char2"/>
    <w:semiHidden/>
    <w:qFormat/>
    <w:uiPriority w:val="99"/>
    <w:rPr>
      <w:rFonts w:ascii="Tahoma" w:hAnsi="Tahoma"/>
      <w:kern w:val="2"/>
      <w:sz w:val="18"/>
      <w:szCs w:val="18"/>
    </w:rPr>
  </w:style>
  <w:style w:type="character" w:customStyle="1" w:styleId="104">
    <w:name w:val="批注文字 Char"/>
    <w:qFormat/>
    <w:uiPriority w:val="0"/>
    <w:rPr>
      <w:kern w:val="2"/>
      <w:sz w:val="21"/>
      <w:szCs w:val="24"/>
    </w:rPr>
  </w:style>
  <w:style w:type="character" w:customStyle="1" w:styleId="105">
    <w:name w:val="文档结构图 Char1"/>
    <w:semiHidden/>
    <w:qFormat/>
    <w:uiPriority w:val="99"/>
    <w:rPr>
      <w:rFonts w:ascii="宋体" w:hAnsi="Times New Roman" w:eastAsia="宋体" w:cs="Times New Roman"/>
      <w:sz w:val="18"/>
      <w:szCs w:val="18"/>
    </w:rPr>
  </w:style>
  <w:style w:type="character" w:customStyle="1" w:styleId="106">
    <w:name w:val="批注主题 Char2"/>
    <w:semiHidden/>
    <w:qFormat/>
    <w:uiPriority w:val="99"/>
    <w:rPr>
      <w:rFonts w:ascii="Tahoma" w:hAnsi="Tahoma"/>
      <w:b/>
      <w:bCs/>
      <w:kern w:val="2"/>
      <w:sz w:val="21"/>
      <w:szCs w:val="24"/>
    </w:rPr>
  </w:style>
  <w:style w:type="character" w:customStyle="1" w:styleId="107">
    <w:name w:val="apple-converted-space"/>
    <w:qFormat/>
    <w:uiPriority w:val="0"/>
  </w:style>
  <w:style w:type="character" w:customStyle="1" w:styleId="108">
    <w:name w:val="正文文本 Char1"/>
    <w:semiHidden/>
    <w:qFormat/>
    <w:uiPriority w:val="99"/>
    <w:rPr>
      <w:rFonts w:ascii="Tahoma" w:hAnsi="Tahoma"/>
      <w:kern w:val="2"/>
      <w:sz w:val="21"/>
      <w:szCs w:val="24"/>
    </w:rPr>
  </w:style>
  <w:style w:type="character" w:customStyle="1" w:styleId="109">
    <w:name w:val="页脚 Char1"/>
    <w:semiHidden/>
    <w:qFormat/>
    <w:uiPriority w:val="99"/>
    <w:rPr>
      <w:rFonts w:ascii="Times New Roman" w:hAnsi="Times New Roman" w:eastAsia="宋体" w:cs="Times New Roman"/>
      <w:sz w:val="18"/>
      <w:szCs w:val="18"/>
    </w:rPr>
  </w:style>
  <w:style w:type="character" w:customStyle="1" w:styleId="110">
    <w:name w:val="文档结构图 Char2"/>
    <w:semiHidden/>
    <w:qFormat/>
    <w:uiPriority w:val="99"/>
    <w:rPr>
      <w:rFonts w:ascii="宋体" w:hAnsi="Tahoma"/>
      <w:kern w:val="2"/>
      <w:sz w:val="18"/>
      <w:szCs w:val="18"/>
    </w:rPr>
  </w:style>
  <w:style w:type="character" w:customStyle="1" w:styleId="111">
    <w:name w:val="纯文本 Char"/>
    <w:qFormat/>
    <w:uiPriority w:val="0"/>
    <w:rPr>
      <w:rFonts w:ascii="宋体" w:hAnsi="Courier New" w:eastAsia="宋体"/>
      <w:sz w:val="24"/>
      <w:szCs w:val="24"/>
    </w:rPr>
  </w:style>
  <w:style w:type="paragraph" w:customStyle="1" w:styleId="112">
    <w:name w:val="Char4"/>
    <w:basedOn w:val="1"/>
    <w:qFormat/>
    <w:uiPriority w:val="0"/>
  </w:style>
  <w:style w:type="paragraph" w:customStyle="1" w:styleId="113">
    <w:name w:val="List Paragraph1"/>
    <w:basedOn w:val="1"/>
    <w:qFormat/>
    <w:uiPriority w:val="0"/>
    <w:pPr>
      <w:ind w:firstLine="420"/>
    </w:pPr>
    <w:rPr>
      <w:rFonts w:ascii="Calibri" w:hAnsi="Calibri"/>
      <w:szCs w:val="22"/>
    </w:rPr>
  </w:style>
  <w:style w:type="paragraph" w:customStyle="1" w:styleId="114">
    <w:name w:val="默认段落字体 Para Char Char Char Char Char Char Char Char Char1 Char Char Char Char"/>
    <w:basedOn w:val="1"/>
    <w:qFormat/>
    <w:uiPriority w:val="0"/>
    <w:rPr>
      <w:rFonts w:ascii="Tahoma" w:hAnsi="Tahoma"/>
      <w:sz w:val="24"/>
      <w:szCs w:val="20"/>
    </w:rPr>
  </w:style>
  <w:style w:type="paragraph" w:customStyle="1" w:styleId="115">
    <w:name w:val="模板正文"/>
    <w:basedOn w:val="1"/>
    <w:qFormat/>
    <w:uiPriority w:val="0"/>
    <w:pPr>
      <w:wordWrap w:val="0"/>
      <w:spacing w:line="288" w:lineRule="auto"/>
      <w:ind w:firstLine="200"/>
    </w:pPr>
    <w:rPr>
      <w:kern w:val="0"/>
      <w:szCs w:val="21"/>
    </w:rPr>
  </w:style>
  <w:style w:type="paragraph" w:customStyle="1" w:styleId="116">
    <w:name w:val="正文1"/>
    <w:basedOn w:val="1"/>
    <w:qFormat/>
    <w:uiPriority w:val="0"/>
    <w:pPr>
      <w:numPr>
        <w:ilvl w:val="0"/>
        <w:numId w:val="2"/>
      </w:numPr>
      <w:tabs>
        <w:tab w:val="left" w:pos="360"/>
      </w:tabs>
      <w:ind w:left="357" w:hanging="357"/>
    </w:pPr>
    <w:rPr>
      <w:rFonts w:ascii="宋体" w:hAnsi="宋体"/>
      <w:color w:val="FF0000"/>
    </w:rPr>
  </w:style>
  <w:style w:type="paragraph" w:customStyle="1" w:styleId="117">
    <w:name w:val="_Style 68"/>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一般条文 Char"/>
    <w:basedOn w:val="1"/>
    <w:qFormat/>
    <w:uiPriority w:val="0"/>
    <w:rPr>
      <w:rFonts w:cs="宋体"/>
      <w:sz w:val="24"/>
    </w:rPr>
  </w:style>
  <w:style w:type="paragraph" w:customStyle="1" w:styleId="119">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20">
    <w:name w:val="无格式"/>
    <w:basedOn w:val="1"/>
    <w:qFormat/>
    <w:uiPriority w:val="0"/>
    <w:pPr>
      <w:adjustRightInd w:val="0"/>
      <w:spacing w:line="360" w:lineRule="atLeast"/>
      <w:ind w:firstLine="420"/>
      <w:jc w:val="left"/>
      <w:textAlignment w:val="baseline"/>
    </w:pPr>
    <w:rPr>
      <w:rFonts w:ascii="Calibri" w:hAnsi="Calibri"/>
      <w:b/>
      <w:kern w:val="0"/>
      <w:sz w:val="24"/>
      <w:szCs w:val="20"/>
    </w:rPr>
  </w:style>
  <w:style w:type="paragraph" w:customStyle="1" w:styleId="121">
    <w:name w:val="_Style 1"/>
    <w:basedOn w:val="1"/>
    <w:qFormat/>
    <w:uiPriority w:val="0"/>
    <w:pPr>
      <w:spacing w:line="240" w:lineRule="auto"/>
      <w:ind w:firstLine="420"/>
    </w:pPr>
    <w:rPr>
      <w:rFonts w:ascii="Calibri" w:hAnsi="Calibri"/>
    </w:rPr>
  </w:style>
  <w:style w:type="paragraph" w:customStyle="1" w:styleId="122">
    <w:name w:val="表内文字"/>
    <w:basedOn w:val="1"/>
    <w:qFormat/>
    <w:uiPriority w:val="0"/>
    <w:pPr>
      <w:tabs>
        <w:tab w:val="left" w:pos="1418"/>
      </w:tabs>
      <w:jc w:val="center"/>
    </w:pPr>
    <w:rPr>
      <w:rFonts w:ascii="仿宋_GB2312" w:eastAsia="仿宋_GB2312"/>
      <w:spacing w:val="-20"/>
      <w:kern w:val="0"/>
      <w:sz w:val="24"/>
    </w:rPr>
  </w:style>
  <w:style w:type="paragraph" w:customStyle="1" w:styleId="123">
    <w:name w:val="Char3"/>
    <w:basedOn w:val="1"/>
    <w:qFormat/>
    <w:uiPriority w:val="0"/>
  </w:style>
  <w:style w:type="paragraph" w:customStyle="1" w:styleId="124">
    <w:name w:val="Char2"/>
    <w:basedOn w:val="1"/>
    <w:qFormat/>
    <w:uiPriority w:val="0"/>
    <w:rPr>
      <w:rFonts w:ascii="仿宋_GB2312" w:eastAsia="仿宋_GB2312"/>
      <w:b/>
      <w:sz w:val="32"/>
      <w:szCs w:val="32"/>
    </w:rPr>
  </w:style>
  <w:style w:type="paragraph" w:customStyle="1" w:styleId="125">
    <w:name w:val="Char11"/>
    <w:basedOn w:val="1"/>
    <w:qFormat/>
    <w:uiPriority w:val="0"/>
    <w:rPr>
      <w:rFonts w:ascii="Tahoma" w:hAnsi="Tahoma"/>
      <w:sz w:val="24"/>
      <w:szCs w:val="20"/>
    </w:rPr>
  </w:style>
  <w:style w:type="paragraph" w:customStyle="1" w:styleId="126">
    <w:name w:val="Char"/>
    <w:basedOn w:val="1"/>
    <w:qFormat/>
    <w:uiPriority w:val="0"/>
  </w:style>
  <w:style w:type="paragraph" w:customStyle="1" w:styleId="12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28">
    <w:name w:val="_Style 127"/>
    <w:unhideWhenUsed/>
    <w:qFormat/>
    <w:uiPriority w:val="99"/>
    <w:rPr>
      <w:rFonts w:ascii="Times New Roman" w:hAnsi="Times New Roman" w:eastAsia="宋体" w:cs="Times New Roman"/>
      <w:kern w:val="2"/>
      <w:sz w:val="21"/>
      <w:szCs w:val="24"/>
      <w:lang w:val="en-US" w:eastAsia="zh-CN" w:bidi="ar-SA"/>
    </w:rPr>
  </w:style>
  <w:style w:type="paragraph" w:customStyle="1" w:styleId="129">
    <w:name w:val="Char Char1 Char Char"/>
    <w:basedOn w:val="1"/>
    <w:qFormat/>
    <w:uiPriority w:val="0"/>
    <w:pPr>
      <w:adjustRightInd w:val="0"/>
      <w:spacing w:line="360" w:lineRule="atLeast"/>
      <w:textAlignment w:val="baseline"/>
    </w:pPr>
    <w:rPr>
      <w:rFonts w:ascii="Calibri" w:hAnsi="Calibri"/>
    </w:rPr>
  </w:style>
  <w:style w:type="paragraph" w:customStyle="1" w:styleId="130">
    <w:name w:val="Char Char Char Char Char Char"/>
    <w:basedOn w:val="1"/>
    <w:qFormat/>
    <w:uiPriority w:val="0"/>
    <w:rPr>
      <w:rFonts w:ascii="Tahoma" w:hAnsi="Tahoma"/>
      <w:sz w:val="24"/>
    </w:rPr>
  </w:style>
  <w:style w:type="paragraph" w:customStyle="1" w:styleId="131">
    <w:name w:val="单位"/>
    <w:basedOn w:val="1"/>
    <w:next w:val="26"/>
    <w:qFormat/>
    <w:uiPriority w:val="0"/>
    <w:pPr>
      <w:keepNext/>
      <w:adjustRightInd w:val="0"/>
      <w:spacing w:before="156" w:beforeLines="50" w:after="156" w:afterLines="50"/>
      <w:ind w:firstLine="200"/>
      <w:jc w:val="center"/>
      <w:textAlignment w:val="baseline"/>
    </w:pPr>
    <w:rPr>
      <w:rFonts w:ascii="黑体" w:eastAsia="黑体"/>
      <w:b/>
      <w:sz w:val="30"/>
    </w:rPr>
  </w:style>
  <w:style w:type="paragraph" w:customStyle="1" w:styleId="132">
    <w:name w:val="首行缩进"/>
    <w:basedOn w:val="1"/>
    <w:qFormat/>
    <w:uiPriority w:val="99"/>
    <w:pPr>
      <w:spacing w:line="300" w:lineRule="auto"/>
      <w:ind w:firstLine="200"/>
    </w:pPr>
    <w:rPr>
      <w:rFonts w:hAnsi="宋体" w:eastAsia="方正书宋简体"/>
      <w:kern w:val="0"/>
      <w:sz w:val="20"/>
    </w:rPr>
  </w:style>
  <w:style w:type="paragraph" w:customStyle="1" w:styleId="133">
    <w:name w:val="列出段落2"/>
    <w:basedOn w:val="1"/>
    <w:qFormat/>
    <w:uiPriority w:val="0"/>
    <w:pPr>
      <w:ind w:firstLine="420"/>
    </w:pPr>
    <w:rPr>
      <w:rFonts w:ascii="Calibri" w:hAnsi="Calibri"/>
      <w:szCs w:val="22"/>
    </w:rPr>
  </w:style>
  <w:style w:type="paragraph" w:customStyle="1" w:styleId="134">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5">
    <w:name w:val="_Style 50"/>
    <w:basedOn w:val="1"/>
    <w:qFormat/>
    <w:uiPriority w:val="0"/>
    <w:pPr>
      <w:widowControl/>
      <w:spacing w:after="160" w:line="240" w:lineRule="exact"/>
      <w:jc w:val="left"/>
    </w:pPr>
    <w:rPr>
      <w:rFonts w:ascii="Verdana" w:hAnsi="Verdana"/>
      <w:kern w:val="0"/>
      <w:sz w:val="20"/>
      <w:szCs w:val="20"/>
      <w:lang w:eastAsia="en-US"/>
    </w:rPr>
  </w:style>
  <w:style w:type="paragraph" w:customStyle="1" w:styleId="136">
    <w:name w:val="_Style 3"/>
    <w:basedOn w:val="1"/>
    <w:qFormat/>
    <w:uiPriority w:val="99"/>
    <w:pPr>
      <w:spacing w:line="240" w:lineRule="auto"/>
      <w:ind w:firstLine="420"/>
    </w:pPr>
    <w:rPr>
      <w:szCs w:val="22"/>
    </w:rPr>
  </w:style>
  <w:style w:type="paragraph" w:customStyle="1" w:styleId="137">
    <w:name w:val="biaoge"/>
    <w:basedOn w:val="1"/>
    <w:qFormat/>
    <w:uiPriority w:val="0"/>
  </w:style>
  <w:style w:type="paragraph" w:customStyle="1" w:styleId="138">
    <w:name w:val="p0"/>
    <w:basedOn w:val="1"/>
    <w:qFormat/>
    <w:uiPriority w:val="0"/>
    <w:pPr>
      <w:widowControl/>
    </w:pPr>
    <w:rPr>
      <w:kern w:val="0"/>
      <w:szCs w:val="21"/>
    </w:rPr>
  </w:style>
  <w:style w:type="paragraph" w:customStyle="1" w:styleId="139">
    <w:name w:val="Char1"/>
    <w:basedOn w:val="1"/>
    <w:qFormat/>
    <w:uiPriority w:val="0"/>
    <w:rPr>
      <w:rFonts w:ascii="Tahoma" w:hAnsi="Tahoma"/>
      <w:sz w:val="24"/>
      <w:szCs w:val="20"/>
    </w:rPr>
  </w:style>
  <w:style w:type="paragraph" w:customStyle="1" w:styleId="140">
    <w:name w:val="_Style 139"/>
    <w:basedOn w:val="3"/>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141">
    <w:name w:val="_Style 2"/>
    <w:basedOn w:val="1"/>
    <w:qFormat/>
    <w:uiPriority w:val="99"/>
    <w:pPr>
      <w:ind w:firstLine="420"/>
    </w:pPr>
  </w:style>
  <w:style w:type="paragraph" w:customStyle="1" w:styleId="1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3">
    <w:name w:val="列出段落1"/>
    <w:basedOn w:val="1"/>
    <w:qFormat/>
    <w:uiPriority w:val="0"/>
    <w:pPr>
      <w:ind w:firstLine="420"/>
    </w:pPr>
    <w:rPr>
      <w:rFonts w:ascii="Calibri" w:hAnsi="Calibri"/>
      <w:szCs w:val="22"/>
    </w:rPr>
  </w:style>
  <w:style w:type="paragraph" w:customStyle="1" w:styleId="144">
    <w:name w:val="副题目"/>
    <w:basedOn w:val="1"/>
    <w:qFormat/>
    <w:uiPriority w:val="0"/>
    <w:pPr>
      <w:keepNext/>
      <w:adjustRightInd w:val="0"/>
      <w:spacing w:before="3120" w:beforeLines="1000" w:after="312" w:afterLines="100"/>
      <w:ind w:firstLine="200"/>
      <w:jc w:val="center"/>
      <w:textAlignment w:val="baseline"/>
    </w:pPr>
    <w:rPr>
      <w:rFonts w:ascii="Arial" w:hAnsi="Arial" w:eastAsia="黑体"/>
      <w:b/>
      <w:sz w:val="32"/>
    </w:rPr>
  </w:style>
  <w:style w:type="paragraph" w:customStyle="1" w:styleId="145">
    <w:name w:val="纯文本4"/>
    <w:basedOn w:val="1"/>
    <w:qFormat/>
    <w:uiPriority w:val="0"/>
    <w:pPr>
      <w:adjustRightInd w:val="0"/>
      <w:textAlignment w:val="baseline"/>
    </w:pPr>
    <w:rPr>
      <w:rFonts w:ascii="宋体" w:hAnsi="Courier New" w:eastAsia="楷体_GB2312"/>
      <w:sz w:val="26"/>
      <w:szCs w:val="20"/>
    </w:rPr>
  </w:style>
  <w:style w:type="paragraph" w:customStyle="1" w:styleId="146">
    <w:name w:val="正文段"/>
    <w:basedOn w:val="1"/>
    <w:qFormat/>
    <w:uiPriority w:val="0"/>
    <w:pPr>
      <w:widowControl/>
      <w:snapToGrid w:val="0"/>
      <w:spacing w:afterLines="50"/>
      <w:ind w:firstLine="200"/>
    </w:pPr>
    <w:rPr>
      <w:kern w:val="0"/>
      <w:sz w:val="24"/>
      <w:szCs w:val="20"/>
    </w:rPr>
  </w:style>
  <w:style w:type="paragraph" w:customStyle="1" w:styleId="147">
    <w:name w:val="正文(首行缩进2字)"/>
    <w:basedOn w:val="1"/>
    <w:qFormat/>
    <w:uiPriority w:val="0"/>
    <w:pPr>
      <w:overflowPunct w:val="0"/>
      <w:autoSpaceDE w:val="0"/>
      <w:autoSpaceDN w:val="0"/>
      <w:adjustRightInd w:val="0"/>
      <w:snapToGrid w:val="0"/>
      <w:spacing w:before="60" w:after="60" w:line="300" w:lineRule="auto"/>
      <w:ind w:firstLine="200"/>
      <w:textAlignment w:val="baseline"/>
    </w:pPr>
    <w:rPr>
      <w:sz w:val="24"/>
    </w:rPr>
  </w:style>
  <w:style w:type="paragraph" w:customStyle="1" w:styleId="148">
    <w:name w:val="样式 首行缩进:  2 字符"/>
    <w:basedOn w:val="1"/>
    <w:qFormat/>
    <w:uiPriority w:val="0"/>
    <w:pPr>
      <w:spacing w:before="120" w:line="288" w:lineRule="auto"/>
      <w:ind w:firstLine="420"/>
    </w:pPr>
    <w:rPr>
      <w:rFonts w:cs="宋体"/>
      <w:szCs w:val="20"/>
    </w:rPr>
  </w:style>
  <w:style w:type="paragraph" w:customStyle="1" w:styleId="149">
    <w:name w:val="样式1"/>
    <w:basedOn w:val="6"/>
    <w:qFormat/>
    <w:uiPriority w:val="0"/>
  </w:style>
  <w:style w:type="paragraph" w:customStyle="1" w:styleId="150">
    <w:name w:val="样式 宋体 两端对齐 段前: 6 磅 段后: 6 磅"/>
    <w:basedOn w:val="1"/>
    <w:qFormat/>
    <w:uiPriority w:val="0"/>
    <w:pPr>
      <w:widowControl/>
      <w:spacing w:before="120" w:after="120"/>
    </w:pPr>
    <w:rPr>
      <w:rFonts w:ascii="宋体" w:hAnsi="宋体" w:cs="宋体"/>
      <w:kern w:val="0"/>
      <w:szCs w:val="20"/>
      <w:lang w:eastAsia="en-US"/>
    </w:rPr>
  </w:style>
  <w:style w:type="paragraph" w:customStyle="1" w:styleId="151">
    <w:name w:val="Normal_0_13"/>
    <w:qFormat/>
    <w:uiPriority w:val="7"/>
    <w:pPr>
      <w:suppressAutoHyphens/>
      <w:spacing w:after="200" w:line="276" w:lineRule="auto"/>
    </w:pPr>
    <w:rPr>
      <w:rFonts w:ascii="Times New Roman" w:hAnsi="Times New Roman" w:eastAsia="Times New Roman" w:cs="Times New Roman"/>
      <w:color w:val="000000"/>
      <w:sz w:val="24"/>
      <w:szCs w:val="24"/>
      <w:lang w:val="en-US" w:eastAsia="zh-CN" w:bidi="hi-IN"/>
    </w:rPr>
  </w:style>
  <w:style w:type="paragraph" w:customStyle="1" w:styleId="152">
    <w:name w:val="Body Text First Indent 21"/>
    <w:basedOn w:val="153"/>
    <w:qFormat/>
    <w:uiPriority w:val="0"/>
    <w:pPr>
      <w:spacing w:line="240" w:lineRule="auto"/>
      <w:ind w:firstLine="420"/>
    </w:pPr>
    <w:rPr>
      <w:rFonts w:cs="宋体"/>
    </w:rPr>
  </w:style>
  <w:style w:type="paragraph" w:customStyle="1" w:styleId="153">
    <w:name w:val="Body Text Indent1"/>
    <w:basedOn w:val="1"/>
    <w:next w:val="1"/>
    <w:qFormat/>
    <w:uiPriority w:val="0"/>
    <w:pPr>
      <w:spacing w:after="120"/>
      <w:ind w:left="420" w:leftChars="200"/>
    </w:pPr>
    <w:rPr>
      <w:color w:val="000000"/>
      <w:szCs w:val="21"/>
    </w:rPr>
  </w:style>
  <w:style w:type="paragraph" w:customStyle="1" w:styleId="154">
    <w:name w:val="正文-常用"/>
    <w:basedOn w:val="1"/>
    <w:qFormat/>
    <w:uiPriority w:val="0"/>
    <w:rPr>
      <w:rFonts w:eastAsia="仿宋"/>
    </w:rPr>
  </w:style>
  <w:style w:type="paragraph" w:customStyle="1" w:styleId="15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1741</Words>
  <Characters>1981</Characters>
  <Lines>48</Lines>
  <Paragraphs>77</Paragraphs>
  <TotalTime>19</TotalTime>
  <ScaleCrop>false</ScaleCrop>
  <LinksUpToDate>false</LinksUpToDate>
  <CharactersWithSpaces>2066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2025-05-28T01:24:00Z</dcterms:created>
  <dc:creator>admin</dc:creator>
  <cp:lastModifiedBy>ThinkPad</cp:lastModifiedBy>
  <cp:lastPrinted>2021-05-08T00:44:00Z</cp:lastPrinted>
  <dcterms:modified xsi:type="dcterms:W3CDTF">2026-05-29T05:07:32Z</dcterms:modified>
  <dc:title>宁波港物资有限公司关于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321F9E97807440BB830157D2D941CBF6_13</vt:lpwstr>
  </property>
  <property fmtid="{D5CDD505-2E9C-101B-9397-08002B2CF9AE}" pid="4" name="KSOTemplateDocerSaveRecord">
    <vt:lpwstr>eyJoZGlkIjoiNTdhMzM3OGQ4NTQ5MzY1ODcxYjIwYzVmODcyYWQyNzgiLCJ1c2VySWQiOiI1NTIwOTgyNDIifQ==</vt:lpwstr>
  </property>
</Properties>
</file>